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12367" w14:textId="77777777" w:rsidR="00A34F1A" w:rsidRDefault="00205E44" w:rsidP="00A510FF">
      <w:pPr>
        <w:spacing w:after="0" w:line="240" w:lineRule="auto"/>
        <w:jc w:val="center"/>
        <w:rPr>
          <w:rFonts w:ascii="Calibri" w:hAnsi="Calibri"/>
          <w:b/>
          <w:bCs/>
          <w:sz w:val="20"/>
          <w:szCs w:val="20"/>
        </w:rPr>
      </w:pPr>
      <w:r>
        <w:rPr>
          <w:rFonts w:ascii="Calibri" w:hAnsi="Calibri"/>
          <w:b/>
          <w:bCs/>
          <w:sz w:val="20"/>
          <w:szCs w:val="20"/>
        </w:rPr>
        <w:t xml:space="preserve"> </w:t>
      </w:r>
      <w:r w:rsidR="00A34F1A">
        <w:rPr>
          <w:rFonts w:ascii="Calibri" w:hAnsi="Calibri"/>
          <w:b/>
          <w:bCs/>
          <w:sz w:val="20"/>
          <w:szCs w:val="20"/>
        </w:rPr>
        <w:t xml:space="preserve">Recommendations for Effective CSO Engagement in </w:t>
      </w:r>
      <w:r w:rsidR="00291748" w:rsidRPr="001F1CE1">
        <w:rPr>
          <w:rFonts w:ascii="Calibri" w:hAnsi="Calibri"/>
          <w:b/>
          <w:bCs/>
          <w:sz w:val="20"/>
          <w:szCs w:val="20"/>
        </w:rPr>
        <w:t>RMNCAH</w:t>
      </w:r>
      <w:r w:rsidR="00A34F1A">
        <w:rPr>
          <w:rFonts w:ascii="Calibri" w:hAnsi="Calibri"/>
          <w:b/>
          <w:bCs/>
          <w:sz w:val="20"/>
          <w:szCs w:val="20"/>
        </w:rPr>
        <w:t xml:space="preserve"> Country Platforms: </w:t>
      </w:r>
    </w:p>
    <w:p w14:paraId="6EB3D867" w14:textId="7A17E368" w:rsidR="007713C3" w:rsidRPr="001F1CE1" w:rsidRDefault="007713C3" w:rsidP="00A510FF">
      <w:pPr>
        <w:spacing w:after="0" w:line="240" w:lineRule="auto"/>
        <w:jc w:val="center"/>
        <w:rPr>
          <w:rFonts w:ascii="Calibri" w:hAnsi="Calibri"/>
          <w:b/>
          <w:bCs/>
          <w:sz w:val="20"/>
          <w:szCs w:val="20"/>
        </w:rPr>
      </w:pPr>
      <w:r w:rsidRPr="001F1CE1">
        <w:rPr>
          <w:rFonts w:ascii="Calibri" w:hAnsi="Calibri"/>
          <w:b/>
          <w:bCs/>
          <w:sz w:val="20"/>
          <w:szCs w:val="20"/>
        </w:rPr>
        <w:t>Participation, Transparency, and Accountability</w:t>
      </w:r>
    </w:p>
    <w:p w14:paraId="0481EC58" w14:textId="77777777" w:rsidR="007713C3" w:rsidRPr="001F1CE1" w:rsidRDefault="007713C3" w:rsidP="007713C3">
      <w:pPr>
        <w:widowControl w:val="0"/>
        <w:spacing w:after="120" w:line="240" w:lineRule="auto"/>
        <w:rPr>
          <w:rFonts w:ascii="Calibri" w:hAnsi="Calibri"/>
          <w:sz w:val="20"/>
          <w:szCs w:val="20"/>
        </w:rPr>
      </w:pPr>
    </w:p>
    <w:p w14:paraId="55CE9A91" w14:textId="1D975365" w:rsidR="007713C3" w:rsidRPr="001F1CE1" w:rsidRDefault="00A34F1A" w:rsidP="001F1CE1">
      <w:pPr>
        <w:pStyle w:val="Default"/>
        <w:jc w:val="both"/>
        <w:rPr>
          <w:color w:val="auto"/>
          <w:sz w:val="20"/>
          <w:szCs w:val="20"/>
        </w:rPr>
      </w:pPr>
      <w:r>
        <w:rPr>
          <w:color w:val="auto"/>
          <w:sz w:val="20"/>
          <w:szCs w:val="20"/>
        </w:rPr>
        <w:t>CSOs have identified important steps that governments can take to ensure meaningful CSO participation in Country Platforms</w:t>
      </w:r>
      <w:r w:rsidR="007713C3" w:rsidRPr="001F1CE1">
        <w:rPr>
          <w:color w:val="auto"/>
          <w:sz w:val="20"/>
          <w:szCs w:val="20"/>
        </w:rPr>
        <w:t>.</w:t>
      </w:r>
      <w:r w:rsidR="00A510FF" w:rsidRPr="001F1CE1">
        <w:rPr>
          <w:rStyle w:val="FootnoteReference"/>
          <w:color w:val="auto"/>
          <w:sz w:val="20"/>
          <w:szCs w:val="20"/>
        </w:rPr>
        <w:footnoteReference w:id="1"/>
      </w:r>
      <w:r w:rsidR="007713C3" w:rsidRPr="001F1CE1">
        <w:rPr>
          <w:color w:val="auto"/>
          <w:sz w:val="20"/>
          <w:szCs w:val="20"/>
        </w:rPr>
        <w:t xml:space="preserve">  </w:t>
      </w:r>
    </w:p>
    <w:p w14:paraId="486DE46B" w14:textId="77777777" w:rsidR="00A34F1A" w:rsidRDefault="00A34F1A" w:rsidP="007713C3">
      <w:pPr>
        <w:widowControl w:val="0"/>
        <w:tabs>
          <w:tab w:val="left" w:pos="5778"/>
        </w:tabs>
        <w:spacing w:after="120" w:line="240" w:lineRule="auto"/>
        <w:jc w:val="both"/>
        <w:rPr>
          <w:rFonts w:ascii="Calibri" w:hAnsi="Calibri"/>
          <w:b/>
          <w:bCs/>
          <w:sz w:val="20"/>
          <w:szCs w:val="20"/>
        </w:rPr>
      </w:pPr>
    </w:p>
    <w:p w14:paraId="66210128" w14:textId="77777777" w:rsidR="007713C3" w:rsidRPr="001F1CE1" w:rsidRDefault="007713C3" w:rsidP="007713C3">
      <w:pPr>
        <w:widowControl w:val="0"/>
        <w:tabs>
          <w:tab w:val="left" w:pos="5778"/>
        </w:tabs>
        <w:spacing w:after="120" w:line="240" w:lineRule="auto"/>
        <w:jc w:val="both"/>
        <w:rPr>
          <w:rFonts w:ascii="Calibri" w:hAnsi="Calibri"/>
          <w:b/>
          <w:i/>
          <w:iCs/>
          <w:sz w:val="20"/>
          <w:szCs w:val="20"/>
        </w:rPr>
      </w:pPr>
      <w:r w:rsidRPr="001F1CE1">
        <w:rPr>
          <w:rFonts w:ascii="Calibri" w:hAnsi="Calibri"/>
          <w:b/>
          <w:i/>
          <w:iCs/>
          <w:sz w:val="20"/>
          <w:szCs w:val="20"/>
        </w:rPr>
        <w:t xml:space="preserve">Inclusiveness and participation </w:t>
      </w:r>
      <w:r w:rsidRPr="001F1CE1">
        <w:rPr>
          <w:rFonts w:ascii="Calibri" w:hAnsi="Calibri"/>
          <w:b/>
          <w:i/>
          <w:iCs/>
          <w:sz w:val="20"/>
          <w:szCs w:val="20"/>
        </w:rPr>
        <w:tab/>
      </w:r>
    </w:p>
    <w:p w14:paraId="0D36A652" w14:textId="4CCBA3E3" w:rsidR="00291748" w:rsidRPr="00F37CEF" w:rsidRDefault="00F37CEF" w:rsidP="00F37CEF">
      <w:pPr>
        <w:pStyle w:val="ListParagraph"/>
        <w:widowControl w:val="0"/>
        <w:numPr>
          <w:ilvl w:val="0"/>
          <w:numId w:val="7"/>
        </w:numPr>
        <w:spacing w:after="120"/>
        <w:jc w:val="both"/>
        <w:rPr>
          <w:rFonts w:ascii="Calibri" w:hAnsi="Calibri"/>
          <w:sz w:val="20"/>
        </w:rPr>
      </w:pPr>
      <w:r w:rsidRPr="00F37CEF">
        <w:rPr>
          <w:rFonts w:ascii="Calibri" w:hAnsi="Calibri"/>
          <w:sz w:val="20"/>
        </w:rPr>
        <w:t>CSO members of Country Platforms</w:t>
      </w:r>
      <w:r w:rsidR="00A510FF" w:rsidRPr="00F37CEF">
        <w:rPr>
          <w:rFonts w:ascii="Calibri" w:hAnsi="Calibri"/>
          <w:sz w:val="20"/>
        </w:rPr>
        <w:t xml:space="preserve"> </w:t>
      </w:r>
      <w:r w:rsidRPr="00F37CEF">
        <w:rPr>
          <w:rFonts w:ascii="Calibri" w:hAnsi="Calibri"/>
          <w:sz w:val="20"/>
        </w:rPr>
        <w:t xml:space="preserve">should be </w:t>
      </w:r>
      <w:r w:rsidR="007713C3" w:rsidRPr="00F37CEF">
        <w:rPr>
          <w:rFonts w:ascii="Calibri" w:hAnsi="Calibri"/>
          <w:sz w:val="20"/>
        </w:rPr>
        <w:t xml:space="preserve">selected in a participatory and transparent manner.  </w:t>
      </w:r>
      <w:r w:rsidR="00A510FF" w:rsidRPr="00F37CEF">
        <w:rPr>
          <w:rFonts w:ascii="Calibri" w:hAnsi="Calibri"/>
          <w:sz w:val="20"/>
        </w:rPr>
        <w:t>Given the diver</w:t>
      </w:r>
      <w:r w:rsidR="006D6790" w:rsidRPr="00F37CEF">
        <w:rPr>
          <w:rFonts w:ascii="Calibri" w:hAnsi="Calibri"/>
          <w:sz w:val="20"/>
        </w:rPr>
        <w:t xml:space="preserve">sity of </w:t>
      </w:r>
      <w:r w:rsidR="00A510FF" w:rsidRPr="00F37CEF">
        <w:rPr>
          <w:rFonts w:ascii="Calibri" w:hAnsi="Calibri"/>
          <w:sz w:val="20"/>
        </w:rPr>
        <w:t>civil society, country platforms should</w:t>
      </w:r>
      <w:r w:rsidR="00291748" w:rsidRPr="00F37CEF">
        <w:rPr>
          <w:rFonts w:ascii="Calibri" w:hAnsi="Calibri"/>
          <w:sz w:val="20"/>
        </w:rPr>
        <w:t xml:space="preserve"> include at least two seats for CSOs, representing broad coalitions.  </w:t>
      </w:r>
    </w:p>
    <w:p w14:paraId="20539BD1" w14:textId="217727BD" w:rsidR="00A34F1A" w:rsidRPr="00A34F1A" w:rsidRDefault="00F37CEF" w:rsidP="00F37CEF">
      <w:pPr>
        <w:pStyle w:val="ListParagraph"/>
        <w:widowControl w:val="0"/>
        <w:numPr>
          <w:ilvl w:val="0"/>
          <w:numId w:val="7"/>
        </w:numPr>
        <w:spacing w:after="120"/>
        <w:jc w:val="both"/>
        <w:rPr>
          <w:rFonts w:ascii="Calibri" w:hAnsi="Calibri"/>
          <w:sz w:val="20"/>
        </w:rPr>
      </w:pPr>
      <w:r>
        <w:rPr>
          <w:rFonts w:ascii="Calibri" w:hAnsi="Calibri"/>
          <w:sz w:val="20"/>
        </w:rPr>
        <w:t xml:space="preserve">Country Platform representatives should have a </w:t>
      </w:r>
      <w:r w:rsidR="007713C3" w:rsidRPr="001F1CE1">
        <w:rPr>
          <w:rFonts w:ascii="Calibri" w:hAnsi="Calibri"/>
          <w:sz w:val="20"/>
        </w:rPr>
        <w:t xml:space="preserve">Terms of reference </w:t>
      </w:r>
      <w:r w:rsidR="001F1CE1">
        <w:rPr>
          <w:rFonts w:ascii="Calibri" w:hAnsi="Calibri"/>
          <w:sz w:val="20"/>
        </w:rPr>
        <w:t xml:space="preserve">(TORs) </w:t>
      </w:r>
      <w:r>
        <w:rPr>
          <w:rFonts w:ascii="Calibri" w:hAnsi="Calibri"/>
          <w:sz w:val="20"/>
        </w:rPr>
        <w:t xml:space="preserve">that </w:t>
      </w:r>
      <w:r w:rsidR="007713C3" w:rsidRPr="001F1CE1">
        <w:rPr>
          <w:rFonts w:ascii="Calibri" w:hAnsi="Calibri"/>
          <w:sz w:val="20"/>
        </w:rPr>
        <w:t>include</w:t>
      </w:r>
      <w:r>
        <w:rPr>
          <w:rFonts w:ascii="Calibri" w:hAnsi="Calibri"/>
          <w:sz w:val="20"/>
        </w:rPr>
        <w:t>s</w:t>
      </w:r>
      <w:r w:rsidR="007713C3" w:rsidRPr="001F1CE1">
        <w:rPr>
          <w:rFonts w:ascii="Calibri" w:hAnsi="Calibri"/>
          <w:sz w:val="20"/>
        </w:rPr>
        <w:t xml:space="preserve"> systematic consultation with groups within and outside their constituency for broader input.  </w:t>
      </w:r>
      <w:r w:rsidR="00291748" w:rsidRPr="001F1CE1">
        <w:rPr>
          <w:rFonts w:ascii="Calibri" w:hAnsi="Calibri"/>
          <w:sz w:val="20"/>
        </w:rPr>
        <w:t xml:space="preserve">The platform should include financing for constituency </w:t>
      </w:r>
      <w:r w:rsidR="00A34F1A">
        <w:rPr>
          <w:rFonts w:ascii="Calibri" w:hAnsi="Calibri"/>
          <w:sz w:val="20"/>
        </w:rPr>
        <w:t xml:space="preserve">engagement as required. </w:t>
      </w:r>
    </w:p>
    <w:p w14:paraId="3B6E7E88" w14:textId="7B2520C0" w:rsidR="007713C3" w:rsidRPr="001F1CE1" w:rsidRDefault="00F37CEF" w:rsidP="00F37CEF">
      <w:pPr>
        <w:pStyle w:val="ListParagraph"/>
        <w:widowControl w:val="0"/>
        <w:numPr>
          <w:ilvl w:val="0"/>
          <w:numId w:val="7"/>
        </w:numPr>
        <w:spacing w:after="120"/>
        <w:jc w:val="both"/>
        <w:rPr>
          <w:rFonts w:ascii="Calibri" w:hAnsi="Calibri"/>
          <w:sz w:val="20"/>
        </w:rPr>
      </w:pPr>
      <w:r>
        <w:rPr>
          <w:rFonts w:ascii="Calibri" w:hAnsi="Calibri"/>
          <w:sz w:val="20"/>
        </w:rPr>
        <w:t>Country Platforms should develop a</w:t>
      </w:r>
      <w:r w:rsidR="00291748" w:rsidRPr="001F1CE1">
        <w:rPr>
          <w:rFonts w:ascii="Calibri" w:hAnsi="Calibri"/>
          <w:sz w:val="20"/>
        </w:rPr>
        <w:t xml:space="preserve"> </w:t>
      </w:r>
      <w:r w:rsidR="007713C3" w:rsidRPr="001F1CE1">
        <w:rPr>
          <w:rFonts w:ascii="Calibri" w:hAnsi="Calibri"/>
          <w:sz w:val="20"/>
        </w:rPr>
        <w:t>Stakeholder Engagement Plan for</w:t>
      </w:r>
      <w:r>
        <w:rPr>
          <w:rFonts w:ascii="Calibri" w:hAnsi="Calibri"/>
          <w:sz w:val="20"/>
        </w:rPr>
        <w:t xml:space="preserve"> transparently</w:t>
      </w:r>
      <w:r w:rsidR="007713C3" w:rsidRPr="001F1CE1">
        <w:rPr>
          <w:rFonts w:ascii="Calibri" w:hAnsi="Calibri"/>
          <w:sz w:val="20"/>
        </w:rPr>
        <w:t xml:space="preserve"> engaging with a broader range of stakeholders that are not part of the country platform. </w:t>
      </w:r>
    </w:p>
    <w:p w14:paraId="65EC42E1" w14:textId="1B116290" w:rsidR="00F37CEF" w:rsidRPr="00F37CEF" w:rsidRDefault="00F37CEF" w:rsidP="00F37CEF">
      <w:pPr>
        <w:pStyle w:val="ListParagraph"/>
        <w:widowControl w:val="0"/>
        <w:numPr>
          <w:ilvl w:val="0"/>
          <w:numId w:val="7"/>
        </w:numPr>
        <w:spacing w:after="120"/>
        <w:jc w:val="both"/>
        <w:rPr>
          <w:rFonts w:ascii="Calibri" w:hAnsi="Calibri"/>
          <w:b/>
          <w:i/>
          <w:iCs/>
          <w:sz w:val="20"/>
        </w:rPr>
      </w:pPr>
      <w:r>
        <w:rPr>
          <w:rFonts w:ascii="Calibri" w:hAnsi="Calibri"/>
          <w:sz w:val="20"/>
        </w:rPr>
        <w:t xml:space="preserve">CSO members of the </w:t>
      </w:r>
      <w:r w:rsidR="007713C3" w:rsidRPr="001F1CE1">
        <w:rPr>
          <w:rFonts w:ascii="Calibri" w:hAnsi="Calibri"/>
          <w:sz w:val="20"/>
        </w:rPr>
        <w:t xml:space="preserve">country platform </w:t>
      </w:r>
      <w:r>
        <w:rPr>
          <w:rFonts w:ascii="Calibri" w:hAnsi="Calibri"/>
          <w:sz w:val="20"/>
        </w:rPr>
        <w:t>should fu</w:t>
      </w:r>
      <w:r w:rsidR="007713C3" w:rsidRPr="001F1CE1">
        <w:rPr>
          <w:rFonts w:ascii="Calibri" w:hAnsi="Calibri"/>
          <w:sz w:val="20"/>
        </w:rPr>
        <w:t>l</w:t>
      </w:r>
      <w:r>
        <w:rPr>
          <w:rFonts w:ascii="Calibri" w:hAnsi="Calibri"/>
          <w:sz w:val="20"/>
        </w:rPr>
        <w:t>ly</w:t>
      </w:r>
      <w:r w:rsidR="007713C3" w:rsidRPr="001F1CE1">
        <w:rPr>
          <w:rFonts w:ascii="Calibri" w:hAnsi="Calibri"/>
          <w:sz w:val="20"/>
        </w:rPr>
        <w:t xml:space="preserve"> and active</w:t>
      </w:r>
      <w:r>
        <w:rPr>
          <w:rFonts w:ascii="Calibri" w:hAnsi="Calibri"/>
          <w:sz w:val="20"/>
        </w:rPr>
        <w:t xml:space="preserve">ly involved at all stages in the GFF </w:t>
      </w:r>
      <w:r w:rsidR="007713C3" w:rsidRPr="001F1CE1">
        <w:rPr>
          <w:rFonts w:ascii="Calibri" w:hAnsi="Calibri"/>
          <w:sz w:val="20"/>
        </w:rPr>
        <w:t>process</w:t>
      </w:r>
      <w:r>
        <w:rPr>
          <w:rFonts w:ascii="Calibri" w:hAnsi="Calibri"/>
          <w:sz w:val="20"/>
        </w:rPr>
        <w:t xml:space="preserve">. </w:t>
      </w:r>
    </w:p>
    <w:p w14:paraId="3FB843E4" w14:textId="77777777" w:rsidR="00F37CEF" w:rsidRPr="00F37CEF" w:rsidRDefault="00F37CEF" w:rsidP="00F37CEF">
      <w:pPr>
        <w:pStyle w:val="ListParagraph"/>
        <w:widowControl w:val="0"/>
        <w:spacing w:after="120"/>
        <w:jc w:val="both"/>
        <w:rPr>
          <w:rFonts w:ascii="Calibri" w:hAnsi="Calibri"/>
          <w:b/>
          <w:i/>
          <w:iCs/>
          <w:sz w:val="20"/>
        </w:rPr>
      </w:pPr>
    </w:p>
    <w:p w14:paraId="287E0757" w14:textId="33CEADF8" w:rsidR="007713C3" w:rsidRPr="00F37CEF" w:rsidRDefault="007713C3" w:rsidP="00F37CEF">
      <w:pPr>
        <w:widowControl w:val="0"/>
        <w:spacing w:after="120"/>
        <w:jc w:val="both"/>
        <w:rPr>
          <w:rFonts w:ascii="Calibri" w:hAnsi="Calibri"/>
          <w:b/>
          <w:i/>
          <w:iCs/>
          <w:sz w:val="20"/>
        </w:rPr>
      </w:pPr>
      <w:r w:rsidRPr="00F37CEF">
        <w:rPr>
          <w:rFonts w:ascii="Calibri" w:hAnsi="Calibri"/>
          <w:b/>
          <w:i/>
          <w:iCs/>
          <w:sz w:val="20"/>
        </w:rPr>
        <w:t>Transparency</w:t>
      </w:r>
    </w:p>
    <w:p w14:paraId="51EDA991" w14:textId="0CD9CCD8" w:rsidR="00F37CEF" w:rsidRDefault="00F37CEF" w:rsidP="00F37CEF">
      <w:pPr>
        <w:pStyle w:val="ListParagraph"/>
        <w:widowControl w:val="0"/>
        <w:numPr>
          <w:ilvl w:val="0"/>
          <w:numId w:val="8"/>
        </w:numPr>
        <w:spacing w:after="120"/>
        <w:jc w:val="both"/>
        <w:rPr>
          <w:rFonts w:ascii="Calibri" w:hAnsi="Calibri"/>
          <w:sz w:val="20"/>
        </w:rPr>
      </w:pPr>
      <w:bookmarkStart w:id="0" w:name="_GoBack"/>
      <w:bookmarkEnd w:id="0"/>
      <w:r w:rsidRPr="00F37CEF">
        <w:rPr>
          <w:rFonts w:ascii="Calibri" w:hAnsi="Calibri"/>
          <w:sz w:val="20"/>
        </w:rPr>
        <w:t>C</w:t>
      </w:r>
      <w:r w:rsidR="007713C3" w:rsidRPr="00F37CEF">
        <w:rPr>
          <w:rFonts w:ascii="Calibri" w:hAnsi="Calibri"/>
          <w:sz w:val="20"/>
        </w:rPr>
        <w:t>ountry platform operational procedures</w:t>
      </w:r>
      <w:r w:rsidRPr="00F37CEF">
        <w:rPr>
          <w:rFonts w:ascii="Calibri" w:hAnsi="Calibri"/>
          <w:sz w:val="20"/>
        </w:rPr>
        <w:t>, member selection, a detailed list of current members, meeting times and when documents will be sent ahead of meetings; voting rules; and a stakeholder engagement plan</w:t>
      </w:r>
      <w:r w:rsidR="00326713" w:rsidRPr="00326713">
        <w:rPr>
          <w:rFonts w:ascii="Calibri" w:hAnsi="Calibri"/>
          <w:sz w:val="20"/>
        </w:rPr>
        <w:t xml:space="preserve"> </w:t>
      </w:r>
      <w:r w:rsidR="00326713" w:rsidRPr="001F1CE1">
        <w:rPr>
          <w:rFonts w:ascii="Calibri" w:hAnsi="Calibri"/>
          <w:sz w:val="20"/>
        </w:rPr>
        <w:t xml:space="preserve">should be made publicly available on </w:t>
      </w:r>
      <w:r w:rsidR="00326713">
        <w:rPr>
          <w:rFonts w:ascii="Calibri" w:hAnsi="Calibri"/>
          <w:sz w:val="20"/>
        </w:rPr>
        <w:t>Ministry of Health</w:t>
      </w:r>
      <w:r w:rsidR="00326713" w:rsidRPr="001F1CE1">
        <w:rPr>
          <w:rFonts w:ascii="Calibri" w:hAnsi="Calibri"/>
          <w:sz w:val="20"/>
        </w:rPr>
        <w:t xml:space="preserve"> and GFF websites and should </w:t>
      </w:r>
      <w:r w:rsidR="00326713">
        <w:rPr>
          <w:rFonts w:ascii="Calibri" w:hAnsi="Calibri"/>
          <w:sz w:val="20"/>
        </w:rPr>
        <w:t>be disseminated to a listserve with voluntary registration</w:t>
      </w:r>
      <w:r w:rsidR="00326713" w:rsidRPr="001F1CE1">
        <w:rPr>
          <w:rFonts w:ascii="Calibri" w:hAnsi="Calibri"/>
          <w:sz w:val="20"/>
        </w:rPr>
        <w:t xml:space="preserve"> within </w:t>
      </w:r>
      <w:r w:rsidR="00326713">
        <w:rPr>
          <w:rFonts w:ascii="Calibri" w:hAnsi="Calibri"/>
          <w:sz w:val="20"/>
        </w:rPr>
        <w:t>a reasonable timeframe</w:t>
      </w:r>
      <w:r w:rsidR="00326713" w:rsidRPr="001F1CE1">
        <w:rPr>
          <w:rFonts w:ascii="Calibri" w:hAnsi="Calibri"/>
          <w:sz w:val="20"/>
        </w:rPr>
        <w:t>:</w:t>
      </w:r>
      <w:r w:rsidRPr="00F37CEF">
        <w:rPr>
          <w:rFonts w:ascii="Calibri" w:hAnsi="Calibri"/>
          <w:sz w:val="20"/>
        </w:rPr>
        <w:t xml:space="preserve">.  </w:t>
      </w:r>
      <w:r w:rsidR="007713C3" w:rsidRPr="00F37CEF">
        <w:rPr>
          <w:rFonts w:ascii="Calibri" w:hAnsi="Calibri"/>
          <w:sz w:val="20"/>
        </w:rPr>
        <w:t xml:space="preserve"> </w:t>
      </w:r>
    </w:p>
    <w:p w14:paraId="3805F01D" w14:textId="77777777" w:rsidR="00F37CEF" w:rsidRDefault="007713C3" w:rsidP="00F37CEF">
      <w:pPr>
        <w:pStyle w:val="ListParagraph"/>
        <w:widowControl w:val="0"/>
        <w:numPr>
          <w:ilvl w:val="0"/>
          <w:numId w:val="8"/>
        </w:numPr>
        <w:spacing w:after="120"/>
        <w:jc w:val="both"/>
        <w:rPr>
          <w:rFonts w:ascii="Calibri" w:hAnsi="Calibri"/>
          <w:sz w:val="20"/>
        </w:rPr>
      </w:pPr>
      <w:r w:rsidRPr="00F37CEF">
        <w:rPr>
          <w:rFonts w:ascii="Calibri" w:hAnsi="Calibri"/>
          <w:sz w:val="20"/>
        </w:rPr>
        <w:t>Updates on all meetings and opportunities for input, including</w:t>
      </w:r>
      <w:r w:rsidR="00F37CEF" w:rsidRPr="00F37CEF">
        <w:rPr>
          <w:rFonts w:ascii="Calibri" w:hAnsi="Calibri"/>
          <w:sz w:val="20"/>
        </w:rPr>
        <w:t xml:space="preserve"> </w:t>
      </w:r>
      <w:r w:rsidRPr="00F37CEF">
        <w:rPr>
          <w:rFonts w:ascii="Calibri" w:hAnsi="Calibri"/>
          <w:sz w:val="20"/>
        </w:rPr>
        <w:t xml:space="preserve">minutes and attendees of meetings </w:t>
      </w:r>
      <w:r w:rsidR="00F37CEF" w:rsidRPr="00F37CEF">
        <w:rPr>
          <w:rFonts w:ascii="Calibri" w:hAnsi="Calibri"/>
          <w:sz w:val="20"/>
        </w:rPr>
        <w:t xml:space="preserve">to develop investment cases and health financing strategies; and timelines for action items coming out of meetings; </w:t>
      </w:r>
      <w:r w:rsidRPr="00F37CEF">
        <w:rPr>
          <w:rFonts w:ascii="Calibri" w:hAnsi="Calibri"/>
          <w:sz w:val="20"/>
        </w:rPr>
        <w:t xml:space="preserve">versions of investment cases and </w:t>
      </w:r>
      <w:r w:rsidR="00F37CEF" w:rsidRPr="00F37CEF">
        <w:rPr>
          <w:rFonts w:ascii="Calibri" w:hAnsi="Calibri"/>
          <w:sz w:val="20"/>
        </w:rPr>
        <w:t xml:space="preserve">other </w:t>
      </w:r>
      <w:r w:rsidRPr="00F37CEF">
        <w:rPr>
          <w:rFonts w:ascii="Calibri" w:hAnsi="Calibri"/>
          <w:sz w:val="20"/>
        </w:rPr>
        <w:t xml:space="preserve">documents </w:t>
      </w:r>
      <w:r w:rsidR="00F37CEF" w:rsidRPr="00F37CEF">
        <w:rPr>
          <w:rFonts w:ascii="Calibri" w:hAnsi="Calibri"/>
          <w:sz w:val="20"/>
        </w:rPr>
        <w:t>should be made available for input.</w:t>
      </w:r>
    </w:p>
    <w:p w14:paraId="04ADE2BE" w14:textId="77777777" w:rsidR="00326713" w:rsidRDefault="00326713" w:rsidP="00326713">
      <w:pPr>
        <w:pStyle w:val="ListParagraph"/>
        <w:widowControl w:val="0"/>
        <w:numPr>
          <w:ilvl w:val="0"/>
          <w:numId w:val="9"/>
        </w:numPr>
        <w:spacing w:after="120"/>
        <w:jc w:val="both"/>
        <w:rPr>
          <w:rFonts w:ascii="Calibri" w:hAnsi="Calibri"/>
          <w:sz w:val="20"/>
        </w:rPr>
      </w:pPr>
      <w:r w:rsidRPr="00326713">
        <w:rPr>
          <w:rFonts w:ascii="Calibri" w:hAnsi="Calibri"/>
          <w:sz w:val="20"/>
        </w:rPr>
        <w:t xml:space="preserve">Other documents that should be made public include Investment Cases and Health Financing Strategies (with </w:t>
      </w:r>
      <w:r w:rsidR="001F1CE1" w:rsidRPr="00326713">
        <w:rPr>
          <w:rFonts w:ascii="Calibri" w:hAnsi="Calibri"/>
          <w:sz w:val="20"/>
        </w:rPr>
        <w:t>results framework and</w:t>
      </w:r>
      <w:r w:rsidR="00F37CEF" w:rsidRPr="00326713">
        <w:rPr>
          <w:rFonts w:ascii="Calibri" w:hAnsi="Calibri"/>
          <w:sz w:val="20"/>
        </w:rPr>
        <w:t xml:space="preserve"> costed implementation plan</w:t>
      </w:r>
      <w:r w:rsidRPr="00326713">
        <w:rPr>
          <w:rFonts w:ascii="Calibri" w:hAnsi="Calibri"/>
          <w:sz w:val="20"/>
        </w:rPr>
        <w:t>);</w:t>
      </w:r>
      <w:r w:rsidR="00F37CEF" w:rsidRPr="00326713">
        <w:rPr>
          <w:rFonts w:ascii="Calibri" w:hAnsi="Calibri"/>
          <w:sz w:val="20"/>
        </w:rPr>
        <w:t xml:space="preserve"> financing agreements, </w:t>
      </w:r>
      <w:r>
        <w:rPr>
          <w:rFonts w:ascii="Calibri" w:hAnsi="Calibri"/>
          <w:sz w:val="20"/>
        </w:rPr>
        <w:t>progress reports, e</w:t>
      </w:r>
      <w:r w:rsidR="007713C3" w:rsidRPr="001F1CE1">
        <w:rPr>
          <w:rFonts w:ascii="Calibri" w:hAnsi="Calibri"/>
          <w:sz w:val="20"/>
        </w:rPr>
        <w:t>valuation reports</w:t>
      </w:r>
      <w:r>
        <w:rPr>
          <w:rFonts w:ascii="Calibri" w:hAnsi="Calibri"/>
          <w:sz w:val="20"/>
        </w:rPr>
        <w:t>.</w:t>
      </w:r>
      <w:r w:rsidR="007713C3" w:rsidRPr="001F1CE1">
        <w:rPr>
          <w:rFonts w:ascii="Calibri" w:hAnsi="Calibri"/>
          <w:sz w:val="20"/>
        </w:rPr>
        <w:t xml:space="preserve"> </w:t>
      </w:r>
    </w:p>
    <w:p w14:paraId="2553BC5E" w14:textId="2E6FAE4E" w:rsidR="007713C3" w:rsidRDefault="007713C3" w:rsidP="00326713">
      <w:pPr>
        <w:pStyle w:val="ListParagraph"/>
        <w:widowControl w:val="0"/>
        <w:numPr>
          <w:ilvl w:val="0"/>
          <w:numId w:val="9"/>
        </w:numPr>
        <w:spacing w:after="120"/>
        <w:jc w:val="both"/>
        <w:rPr>
          <w:rFonts w:ascii="Calibri" w:hAnsi="Calibri"/>
          <w:sz w:val="20"/>
        </w:rPr>
      </w:pPr>
      <w:r w:rsidRPr="00326713">
        <w:rPr>
          <w:rFonts w:ascii="Calibri" w:hAnsi="Calibri"/>
          <w:sz w:val="20"/>
        </w:rPr>
        <w:t xml:space="preserve">All consultation meetings </w:t>
      </w:r>
      <w:r w:rsidR="00326713" w:rsidRPr="00326713">
        <w:rPr>
          <w:rFonts w:ascii="Calibri" w:hAnsi="Calibri"/>
          <w:sz w:val="20"/>
        </w:rPr>
        <w:t xml:space="preserve">for Country Platforms should be </w:t>
      </w:r>
      <w:r w:rsidRPr="00326713">
        <w:rPr>
          <w:rFonts w:ascii="Calibri" w:hAnsi="Calibri"/>
          <w:sz w:val="20"/>
        </w:rPr>
        <w:t xml:space="preserve">posted at least 2 weeks in advance including all documents, </w:t>
      </w:r>
      <w:r w:rsidR="00326713" w:rsidRPr="00326713">
        <w:rPr>
          <w:rFonts w:ascii="Calibri" w:hAnsi="Calibri"/>
          <w:sz w:val="20"/>
        </w:rPr>
        <w:t xml:space="preserve">with </w:t>
      </w:r>
      <w:r w:rsidRPr="00326713">
        <w:rPr>
          <w:rFonts w:ascii="Calibri" w:hAnsi="Calibri"/>
          <w:sz w:val="20"/>
        </w:rPr>
        <w:t>a list of participants with emails so that representatives can be reached ahead of time</w:t>
      </w:r>
      <w:r w:rsidR="00326713" w:rsidRPr="00326713">
        <w:rPr>
          <w:rFonts w:ascii="Calibri" w:hAnsi="Calibri"/>
          <w:sz w:val="20"/>
        </w:rPr>
        <w:t xml:space="preserve">. </w:t>
      </w:r>
      <w:r w:rsidRPr="00326713">
        <w:rPr>
          <w:rFonts w:ascii="Calibri" w:hAnsi="Calibri"/>
          <w:sz w:val="20"/>
        </w:rPr>
        <w:t>Where possible meetings are available live through webca</w:t>
      </w:r>
      <w:r w:rsidR="00326713">
        <w:rPr>
          <w:rFonts w:ascii="Calibri" w:hAnsi="Calibri"/>
          <w:sz w:val="20"/>
        </w:rPr>
        <w:t>st.</w:t>
      </w:r>
    </w:p>
    <w:p w14:paraId="6310263E" w14:textId="77777777" w:rsidR="00326713" w:rsidRPr="00326713" w:rsidRDefault="00326713" w:rsidP="00326713">
      <w:pPr>
        <w:pStyle w:val="ListParagraph"/>
        <w:widowControl w:val="0"/>
        <w:spacing w:after="120"/>
        <w:jc w:val="both"/>
        <w:rPr>
          <w:rFonts w:ascii="Calibri" w:hAnsi="Calibri"/>
          <w:sz w:val="20"/>
        </w:rPr>
      </w:pPr>
    </w:p>
    <w:p w14:paraId="186E2FDA" w14:textId="77777777" w:rsidR="007713C3" w:rsidRPr="001F1CE1" w:rsidRDefault="007713C3" w:rsidP="007713C3">
      <w:pPr>
        <w:widowControl w:val="0"/>
        <w:spacing w:after="120" w:line="240" w:lineRule="auto"/>
        <w:jc w:val="both"/>
        <w:rPr>
          <w:rFonts w:ascii="Calibri" w:hAnsi="Calibri"/>
          <w:b/>
          <w:i/>
          <w:iCs/>
          <w:sz w:val="20"/>
          <w:szCs w:val="20"/>
        </w:rPr>
      </w:pPr>
      <w:r w:rsidRPr="001F1CE1">
        <w:rPr>
          <w:rFonts w:ascii="Calibri" w:hAnsi="Calibri"/>
          <w:b/>
          <w:i/>
          <w:iCs/>
          <w:sz w:val="20"/>
          <w:szCs w:val="20"/>
        </w:rPr>
        <w:t>Independence and Accountability</w:t>
      </w:r>
    </w:p>
    <w:p w14:paraId="562E7F88" w14:textId="77777777" w:rsidR="007713C3" w:rsidRPr="001F1CE1" w:rsidRDefault="007713C3" w:rsidP="001F1CE1">
      <w:pPr>
        <w:pStyle w:val="ListParagraph"/>
        <w:widowControl w:val="0"/>
        <w:numPr>
          <w:ilvl w:val="0"/>
          <w:numId w:val="3"/>
        </w:numPr>
        <w:spacing w:after="120"/>
        <w:jc w:val="both"/>
        <w:rPr>
          <w:rFonts w:ascii="Calibri" w:hAnsi="Calibri"/>
          <w:sz w:val="20"/>
        </w:rPr>
      </w:pPr>
      <w:r w:rsidRPr="001F1CE1">
        <w:rPr>
          <w:rFonts w:ascii="Calibri" w:hAnsi="Calibri"/>
          <w:sz w:val="20"/>
        </w:rPr>
        <w:t xml:space="preserve">Country Platforms should align their accountability and monitoring processes with other national processes in order to strengthen national </w:t>
      </w:r>
      <w:r w:rsidR="001F1CE1">
        <w:rPr>
          <w:rFonts w:ascii="Calibri" w:hAnsi="Calibri"/>
          <w:sz w:val="20"/>
        </w:rPr>
        <w:t>capacity for monitoring</w:t>
      </w:r>
      <w:r w:rsidRPr="001F1CE1">
        <w:rPr>
          <w:rFonts w:ascii="Calibri" w:hAnsi="Calibri"/>
          <w:sz w:val="20"/>
        </w:rPr>
        <w:t xml:space="preserve"> and reporting. In those countries that choose to do so </w:t>
      </w:r>
      <w:r w:rsidR="00DB24DB" w:rsidRPr="001F1CE1">
        <w:rPr>
          <w:rFonts w:ascii="Calibri" w:hAnsi="Calibri"/>
          <w:sz w:val="20"/>
        </w:rPr>
        <w:t>a</w:t>
      </w:r>
      <w:r w:rsidRPr="001F1CE1">
        <w:rPr>
          <w:rFonts w:ascii="Calibri" w:hAnsi="Calibri"/>
          <w:sz w:val="20"/>
        </w:rPr>
        <w:t>nnual health sector reviews should be used as a forum to jointly review Government- and independently-provided reports on GFF results, and should include all constituencies outlined under Inclusiveness and Participation above</w:t>
      </w:r>
      <w:r w:rsidR="00DB24DB" w:rsidRPr="001F1CE1">
        <w:rPr>
          <w:rFonts w:ascii="Calibri" w:hAnsi="Calibri"/>
          <w:sz w:val="20"/>
        </w:rPr>
        <w:t>, o</w:t>
      </w:r>
      <w:r w:rsidRPr="001F1CE1">
        <w:rPr>
          <w:rFonts w:ascii="Calibri" w:hAnsi="Calibri"/>
          <w:sz w:val="20"/>
        </w:rPr>
        <w:t xml:space="preserve">therwise other </w:t>
      </w:r>
      <w:r w:rsidR="00DB24DB" w:rsidRPr="001F1CE1">
        <w:rPr>
          <w:rFonts w:ascii="Calibri" w:hAnsi="Calibri"/>
          <w:sz w:val="20"/>
        </w:rPr>
        <w:t>mechanisms</w:t>
      </w:r>
      <w:r w:rsidRPr="001F1CE1">
        <w:rPr>
          <w:rFonts w:ascii="Calibri" w:hAnsi="Calibri"/>
          <w:sz w:val="20"/>
        </w:rPr>
        <w:t xml:space="preserve"> to </w:t>
      </w:r>
      <w:r w:rsidR="00C260C8" w:rsidRPr="001F1CE1">
        <w:rPr>
          <w:rFonts w:ascii="Calibri" w:hAnsi="Calibri"/>
          <w:sz w:val="20"/>
        </w:rPr>
        <w:t>review reports on GFF results</w:t>
      </w:r>
      <w:r w:rsidRPr="001F1CE1">
        <w:rPr>
          <w:rFonts w:ascii="Calibri" w:hAnsi="Calibri"/>
          <w:sz w:val="20"/>
        </w:rPr>
        <w:t xml:space="preserve"> need to be put in place</w:t>
      </w:r>
    </w:p>
    <w:p w14:paraId="50DF6D3B" w14:textId="77777777" w:rsidR="007713C3" w:rsidRPr="001F1CE1" w:rsidRDefault="007713C3" w:rsidP="006D6790">
      <w:pPr>
        <w:pStyle w:val="ListParagraph"/>
        <w:widowControl w:val="0"/>
        <w:numPr>
          <w:ilvl w:val="0"/>
          <w:numId w:val="3"/>
        </w:numPr>
        <w:spacing w:after="120"/>
        <w:jc w:val="both"/>
        <w:rPr>
          <w:rFonts w:ascii="Calibri" w:hAnsi="Calibri"/>
          <w:sz w:val="20"/>
        </w:rPr>
      </w:pPr>
      <w:r w:rsidRPr="001F1CE1">
        <w:rPr>
          <w:rFonts w:ascii="Calibri" w:hAnsi="Calibri"/>
          <w:sz w:val="20"/>
        </w:rPr>
        <w:t xml:space="preserve">An independent review of the adherence to the country platforms’ own operational procedures </w:t>
      </w:r>
      <w:r w:rsidR="006D6790">
        <w:rPr>
          <w:rFonts w:ascii="Calibri" w:hAnsi="Calibri"/>
          <w:sz w:val="20"/>
        </w:rPr>
        <w:t xml:space="preserve">should be conducted and made public </w:t>
      </w:r>
      <w:r w:rsidRPr="001F1CE1">
        <w:rPr>
          <w:rFonts w:ascii="Calibri" w:hAnsi="Calibri"/>
          <w:sz w:val="20"/>
        </w:rPr>
        <w:t xml:space="preserve">at </w:t>
      </w:r>
      <w:r w:rsidR="006D6790">
        <w:rPr>
          <w:rFonts w:ascii="Calibri" w:hAnsi="Calibri"/>
          <w:sz w:val="20"/>
        </w:rPr>
        <w:t>least every two years</w:t>
      </w:r>
      <w:r w:rsidRPr="001F1CE1">
        <w:rPr>
          <w:rFonts w:ascii="Calibri" w:hAnsi="Calibri"/>
          <w:sz w:val="20"/>
        </w:rPr>
        <w:t xml:space="preserve">. </w:t>
      </w:r>
    </w:p>
    <w:p w14:paraId="266E4EB2" w14:textId="77777777" w:rsidR="007713C3" w:rsidRPr="001F1CE1" w:rsidRDefault="00E5155D" w:rsidP="00E5155D">
      <w:pPr>
        <w:pStyle w:val="ListParagraph"/>
        <w:widowControl w:val="0"/>
        <w:numPr>
          <w:ilvl w:val="0"/>
          <w:numId w:val="3"/>
        </w:numPr>
        <w:spacing w:after="120"/>
        <w:jc w:val="both"/>
        <w:rPr>
          <w:rFonts w:ascii="Calibri" w:hAnsi="Calibri"/>
          <w:sz w:val="20"/>
        </w:rPr>
      </w:pPr>
      <w:r w:rsidRPr="00E5155D">
        <w:rPr>
          <w:rFonts w:ascii="Calibri" w:hAnsi="Calibri"/>
          <w:sz w:val="20"/>
        </w:rPr>
        <w:t xml:space="preserve">The country platform should propose and implement a grievance mechanism to receive and facilitate resolution of concerns and grievances from project affected parties related to the minimum standards. </w:t>
      </w:r>
      <w:r w:rsidR="007713C3" w:rsidRPr="001F1CE1">
        <w:rPr>
          <w:rFonts w:ascii="Calibri" w:hAnsi="Calibri"/>
          <w:sz w:val="20"/>
        </w:rPr>
        <w:t xml:space="preserve">Should </w:t>
      </w:r>
      <w:r>
        <w:rPr>
          <w:rFonts w:ascii="Calibri" w:hAnsi="Calibri"/>
          <w:sz w:val="20"/>
        </w:rPr>
        <w:t>the country platform not respond to</w:t>
      </w:r>
      <w:r w:rsidR="007713C3" w:rsidRPr="001F1CE1">
        <w:rPr>
          <w:rFonts w:ascii="Calibri" w:hAnsi="Calibri"/>
          <w:sz w:val="20"/>
        </w:rPr>
        <w:t xml:space="preserve"> grievance</w:t>
      </w:r>
      <w:r>
        <w:rPr>
          <w:rFonts w:ascii="Calibri" w:hAnsi="Calibri"/>
          <w:sz w:val="20"/>
        </w:rPr>
        <w:t xml:space="preserve">s in a timely manner, these should be directed </w:t>
      </w:r>
      <w:r w:rsidR="007713C3" w:rsidRPr="001F1CE1">
        <w:rPr>
          <w:rFonts w:ascii="Calibri" w:hAnsi="Calibri"/>
          <w:sz w:val="20"/>
        </w:rPr>
        <w:t>to an ombudsman, according to</w:t>
      </w:r>
      <w:r>
        <w:rPr>
          <w:rFonts w:ascii="Calibri" w:hAnsi="Calibri"/>
          <w:sz w:val="20"/>
        </w:rPr>
        <w:t xml:space="preserve"> a grievance mechanism and redress policy</w:t>
      </w:r>
      <w:r w:rsidR="007713C3" w:rsidRPr="001F1CE1">
        <w:rPr>
          <w:rFonts w:ascii="Calibri" w:hAnsi="Calibri"/>
          <w:sz w:val="20"/>
        </w:rPr>
        <w:t xml:space="preserve"> </w:t>
      </w:r>
      <w:r>
        <w:rPr>
          <w:rFonts w:ascii="Calibri" w:hAnsi="Calibri"/>
          <w:sz w:val="20"/>
        </w:rPr>
        <w:t>endorsed by the GFF Investors Group</w:t>
      </w:r>
      <w:r w:rsidR="007713C3" w:rsidRPr="001F1CE1">
        <w:rPr>
          <w:rFonts w:ascii="Calibri" w:hAnsi="Calibri"/>
          <w:sz w:val="20"/>
        </w:rPr>
        <w:t xml:space="preserve">.  </w:t>
      </w:r>
    </w:p>
    <w:p w14:paraId="70CDC978" w14:textId="77777777" w:rsidR="00C724EA" w:rsidRPr="00E5155D" w:rsidRDefault="007713C3" w:rsidP="00E5155D">
      <w:pPr>
        <w:pStyle w:val="ListParagraph"/>
        <w:widowControl w:val="0"/>
        <w:numPr>
          <w:ilvl w:val="0"/>
          <w:numId w:val="3"/>
        </w:numPr>
        <w:spacing w:after="120"/>
        <w:jc w:val="both"/>
        <w:rPr>
          <w:rFonts w:ascii="Calibri" w:hAnsi="Calibri"/>
          <w:sz w:val="20"/>
        </w:rPr>
      </w:pPr>
      <w:r w:rsidRPr="001F1CE1">
        <w:rPr>
          <w:rFonts w:ascii="Calibri" w:hAnsi="Calibri"/>
          <w:sz w:val="20"/>
        </w:rPr>
        <w:t>The country platform will create an accountability working group to develop an accountability strategy for the implementation of the investment plan.  This strategy will take into account centralized and decentralized levels.  It will prioritize national and local community-based accountability through the use of scorecards and citizens’ hearings and will also include budget analysis and advocacy.  The implementation of this strategy will be funded independently from the GFF.</w:t>
      </w:r>
    </w:p>
    <w:sectPr w:rsidR="00C724EA" w:rsidRPr="00E515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91667" w14:textId="77777777" w:rsidR="00CC5E09" w:rsidRDefault="00CC5E09" w:rsidP="007713C3">
      <w:pPr>
        <w:spacing w:after="0" w:line="240" w:lineRule="auto"/>
      </w:pPr>
      <w:r>
        <w:separator/>
      </w:r>
    </w:p>
  </w:endnote>
  <w:endnote w:type="continuationSeparator" w:id="0">
    <w:p w14:paraId="20FB0C8C" w14:textId="77777777" w:rsidR="00CC5E09" w:rsidRDefault="00CC5E09" w:rsidP="00771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547B3" w14:textId="77777777" w:rsidR="00CC5E09" w:rsidRDefault="00CC5E09" w:rsidP="007713C3">
      <w:pPr>
        <w:spacing w:after="0" w:line="240" w:lineRule="auto"/>
      </w:pPr>
      <w:r>
        <w:separator/>
      </w:r>
    </w:p>
  </w:footnote>
  <w:footnote w:type="continuationSeparator" w:id="0">
    <w:p w14:paraId="644344E7" w14:textId="77777777" w:rsidR="00CC5E09" w:rsidRDefault="00CC5E09" w:rsidP="007713C3">
      <w:pPr>
        <w:spacing w:after="0" w:line="240" w:lineRule="auto"/>
      </w:pPr>
      <w:r>
        <w:continuationSeparator/>
      </w:r>
    </w:p>
  </w:footnote>
  <w:footnote w:id="1">
    <w:p w14:paraId="1E4B26D1" w14:textId="261860B4" w:rsidR="00A510FF" w:rsidRPr="00C260C8" w:rsidRDefault="00A510FF" w:rsidP="00A510FF">
      <w:pPr>
        <w:pStyle w:val="FootnoteText"/>
      </w:pPr>
      <w:r w:rsidRPr="00C260C8">
        <w:rPr>
          <w:rStyle w:val="FootnoteReference"/>
        </w:rPr>
        <w:footnoteRef/>
      </w:r>
      <w:r w:rsidR="00A34F1A">
        <w:t xml:space="preserve"> This is a condensed version of the recommendations put forward to the Investors Group to strengthen the Minimum Standards for Country Platforms in February, 2016.  It reflect</w:t>
      </w:r>
      <w:r w:rsidRPr="00C260C8">
        <w:t xml:space="preserve"> perspectives from 45 representatives from 13 countries, including ten of the twelve GFF countries</w:t>
      </w:r>
      <w:r w:rsidRPr="00C260C8">
        <w:rPr>
          <w:sz w:val="21"/>
          <w:szCs w:val="2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66F29"/>
    <w:multiLevelType w:val="hybridMultilevel"/>
    <w:tmpl w:val="3184E9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B46689"/>
    <w:multiLevelType w:val="hybridMultilevel"/>
    <w:tmpl w:val="A100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D9379A"/>
    <w:multiLevelType w:val="hybridMultilevel"/>
    <w:tmpl w:val="87764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0A6300"/>
    <w:multiLevelType w:val="hybridMultilevel"/>
    <w:tmpl w:val="8DCEB08A"/>
    <w:lvl w:ilvl="0" w:tplc="3E04AB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C1EB7"/>
    <w:multiLevelType w:val="hybridMultilevel"/>
    <w:tmpl w:val="F92A4530"/>
    <w:lvl w:ilvl="0" w:tplc="3E04AB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4F5BC4"/>
    <w:multiLevelType w:val="hybridMultilevel"/>
    <w:tmpl w:val="95347B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C7A019F"/>
    <w:multiLevelType w:val="hybridMultilevel"/>
    <w:tmpl w:val="DC263CD2"/>
    <w:lvl w:ilvl="0" w:tplc="08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FC84719"/>
    <w:multiLevelType w:val="hybridMultilevel"/>
    <w:tmpl w:val="AE00D42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AED379F"/>
    <w:multiLevelType w:val="hybridMultilevel"/>
    <w:tmpl w:val="208863B8"/>
    <w:lvl w:ilvl="0" w:tplc="3E04AB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5"/>
  </w:num>
  <w:num w:numId="5">
    <w:abstractNumId w:val="2"/>
  </w:num>
  <w:num w:numId="6">
    <w:abstractNumId w:val="1"/>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EA"/>
    <w:rsid w:val="00087283"/>
    <w:rsid w:val="000F11F1"/>
    <w:rsid w:val="001F1CE1"/>
    <w:rsid w:val="00205E44"/>
    <w:rsid w:val="00291748"/>
    <w:rsid w:val="00326713"/>
    <w:rsid w:val="006602E7"/>
    <w:rsid w:val="006D1933"/>
    <w:rsid w:val="006D6790"/>
    <w:rsid w:val="007713C3"/>
    <w:rsid w:val="008329DA"/>
    <w:rsid w:val="008E6BC3"/>
    <w:rsid w:val="00A34F1A"/>
    <w:rsid w:val="00A510FF"/>
    <w:rsid w:val="00A95ECB"/>
    <w:rsid w:val="00C260C8"/>
    <w:rsid w:val="00C724EA"/>
    <w:rsid w:val="00CA1F4F"/>
    <w:rsid w:val="00CC5E09"/>
    <w:rsid w:val="00DB24DB"/>
    <w:rsid w:val="00E5155D"/>
    <w:rsid w:val="00F37C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A3787"/>
  <w15:docId w15:val="{10DE6CFE-A0D6-49F5-AB35-566E691C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4EA"/>
    <w:rPr>
      <w:color w:val="0000FF" w:themeColor="hyperlink"/>
      <w:u w:val="single"/>
    </w:rPr>
  </w:style>
  <w:style w:type="paragraph" w:styleId="ListParagraph">
    <w:name w:val="List Paragraph"/>
    <w:aliases w:val="Bullet List,MCHIP_list paragraph,List Paragraph1,Recommendation,FooterText,Colorful List Accent 1,numbered,Paragraphe de liste1,列出段落,列出段落1,Bulletr List Paragraph,List Paragraph2,List Paragraph21,Párrafo de lista1,Parágrafo da Lista1,stil3"/>
    <w:basedOn w:val="Normal"/>
    <w:link w:val="ListParagraphChar"/>
    <w:uiPriority w:val="34"/>
    <w:qFormat/>
    <w:rsid w:val="007713C3"/>
    <w:pPr>
      <w:spacing w:after="0" w:line="240" w:lineRule="auto"/>
      <w:ind w:left="720"/>
      <w:contextualSpacing/>
    </w:pPr>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7713C3"/>
    <w:rPr>
      <w:sz w:val="16"/>
      <w:szCs w:val="16"/>
    </w:rPr>
  </w:style>
  <w:style w:type="paragraph" w:styleId="CommentText">
    <w:name w:val="annotation text"/>
    <w:basedOn w:val="Normal"/>
    <w:link w:val="CommentTextChar"/>
    <w:uiPriority w:val="99"/>
    <w:unhideWhenUsed/>
    <w:rsid w:val="007713C3"/>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7713C3"/>
    <w:rPr>
      <w:rFonts w:ascii="Times New Roman" w:eastAsia="Times New Roman" w:hAnsi="Times New Roman" w:cs="Times New Roman"/>
      <w:sz w:val="20"/>
      <w:szCs w:val="20"/>
      <w:lang w:val="en-US"/>
    </w:rPr>
  </w:style>
  <w:style w:type="character" w:customStyle="1" w:styleId="ListParagraphChar">
    <w:name w:val="List Paragraph Char"/>
    <w:aliases w:val="Bullet List Char,MCHIP_list paragraph Char,List Paragraph1 Char,Recommendation Char,FooterText Char,Colorful List Accent 1 Char,numbered Char,Paragraphe de liste1 Char,列出段落 Char,列出段落1 Char,Bulletr List Paragraph Char,stil3 Char"/>
    <w:basedOn w:val="DefaultParagraphFont"/>
    <w:link w:val="ListParagraph"/>
    <w:uiPriority w:val="34"/>
    <w:locked/>
    <w:rsid w:val="007713C3"/>
    <w:rPr>
      <w:rFonts w:ascii="Times New Roman" w:eastAsia="Times New Roman" w:hAnsi="Times New Roman" w:cs="Times New Roman"/>
      <w:sz w:val="24"/>
      <w:szCs w:val="20"/>
      <w:lang w:val="en-US"/>
    </w:rPr>
  </w:style>
  <w:style w:type="paragraph" w:styleId="FootnoteText">
    <w:name w:val="footnote text"/>
    <w:basedOn w:val="Normal"/>
    <w:link w:val="FootnoteTextChar"/>
    <w:uiPriority w:val="99"/>
    <w:semiHidden/>
    <w:unhideWhenUsed/>
    <w:rsid w:val="007713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13C3"/>
    <w:rPr>
      <w:sz w:val="20"/>
      <w:szCs w:val="20"/>
    </w:rPr>
  </w:style>
  <w:style w:type="character" w:styleId="FootnoteReference">
    <w:name w:val="footnote reference"/>
    <w:basedOn w:val="DefaultParagraphFont"/>
    <w:uiPriority w:val="99"/>
    <w:semiHidden/>
    <w:unhideWhenUsed/>
    <w:rsid w:val="007713C3"/>
    <w:rPr>
      <w:vertAlign w:val="superscript"/>
    </w:rPr>
  </w:style>
  <w:style w:type="paragraph" w:customStyle="1" w:styleId="Default">
    <w:name w:val="Default"/>
    <w:rsid w:val="007713C3"/>
    <w:pPr>
      <w:autoSpaceDE w:val="0"/>
      <w:autoSpaceDN w:val="0"/>
      <w:adjustRightInd w:val="0"/>
      <w:spacing w:after="0" w:line="240" w:lineRule="auto"/>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771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3C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713C3"/>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7713C3"/>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5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6AA5D-105F-4E99-9795-199DE7D23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TOURE, Kadidiatou</dc:creator>
  <cp:lastModifiedBy>Suzanna Dennis</cp:lastModifiedBy>
  <cp:revision>3</cp:revision>
  <dcterms:created xsi:type="dcterms:W3CDTF">2016-07-27T12:59:00Z</dcterms:created>
  <dcterms:modified xsi:type="dcterms:W3CDTF">2016-07-27T13:26:00Z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1390464002</vt:i4>
  </property>
  <property fmtid="{D5CDD505-2E9C-101B-9397-08002B2CF9AE}" pid="4" name="_EmailSubject">
    <vt:lpwstr>Text needed: CSO recommendations for country platforms</vt:lpwstr>
  </property>
  <property fmtid="{D5CDD505-2E9C-101B-9397-08002B2CF9AE}" pid="5" name="_AuthorEmail">
    <vt:lpwstr>tourek@who.int</vt:lpwstr>
  </property>
  <property fmtid="{D5CDD505-2E9C-101B-9397-08002B2CF9AE}" pid="6" name="_AuthorEmailDisplayName">
    <vt:lpwstr>TOURE, Kadidiatou</vt:lpwstr>
  </property>
  <property fmtid="{D5CDD505-2E9C-101B-9397-08002B2CF9AE}" pid="7" name="_ReviewingToolsShownOnce">
    <vt:lpwstr/>
  </property>
</Properties>
</file>