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F5" w:rsidRDefault="00BB1036" w:rsidP="00306361">
      <w:pPr>
        <w:spacing w:after="0" w:line="240" w:lineRule="auto"/>
        <w:rPr>
          <w:b/>
          <w:color w:val="0070C0"/>
          <w:sz w:val="32"/>
          <w:szCs w:val="32"/>
        </w:rPr>
      </w:pPr>
      <w:bookmarkStart w:id="0" w:name="_GoBack"/>
      <w:bookmarkEnd w:id="0"/>
      <w:r w:rsidRPr="001B7C02">
        <w:rPr>
          <w:rFonts w:ascii="Calibri" w:hAnsi="Calibri" w:cs="Arial"/>
          <w:noProof/>
          <w:sz w:val="36"/>
          <w:szCs w:val="196"/>
          <w:lang w:eastAsia="fr-FR"/>
        </w:rPr>
        <w:drawing>
          <wp:inline distT="0" distB="0" distL="0" distR="0" wp14:anchorId="279E9DBF" wp14:editId="0B1665C2">
            <wp:extent cx="622613" cy="400050"/>
            <wp:effectExtent l="0" t="0" r="6350" b="0"/>
            <wp:docPr id="2" name="Image 2" descr="D:\Users\isl\Documents\ACF_FORMATION_SIEGE\Prepa-Plan\Fr_Col_RGB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isl\Documents\ACF_FORMATION_SIEGE\Prepa-Plan\Fr_Col_RGB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338" cy="419149"/>
                    </a:xfrm>
                    <a:prstGeom prst="rect">
                      <a:avLst/>
                    </a:prstGeom>
                    <a:noFill/>
                    <a:ln>
                      <a:noFill/>
                    </a:ln>
                  </pic:spPr>
                </pic:pic>
              </a:graphicData>
            </a:graphic>
          </wp:inline>
        </w:drawing>
      </w:r>
      <w:r w:rsidR="00306361">
        <w:rPr>
          <w:b/>
          <w:color w:val="0070C0"/>
          <w:sz w:val="32"/>
          <w:szCs w:val="32"/>
        </w:rPr>
        <w:t xml:space="preserve">    </w:t>
      </w:r>
    </w:p>
    <w:p w:rsidR="00306361" w:rsidRDefault="00306361" w:rsidP="007C5DF5">
      <w:pPr>
        <w:spacing w:after="0" w:line="240" w:lineRule="auto"/>
        <w:jc w:val="center"/>
        <w:rPr>
          <w:b/>
          <w:color w:val="0070C0"/>
          <w:sz w:val="32"/>
          <w:szCs w:val="32"/>
        </w:rPr>
      </w:pPr>
      <w:r w:rsidRPr="00306361">
        <w:rPr>
          <w:b/>
          <w:color w:val="0070C0"/>
          <w:sz w:val="32"/>
          <w:szCs w:val="32"/>
        </w:rPr>
        <w:t xml:space="preserve">Pourquoi le </w:t>
      </w:r>
      <w:r w:rsidR="003C1F09" w:rsidRPr="00306361">
        <w:rPr>
          <w:b/>
          <w:color w:val="0070C0"/>
          <w:sz w:val="32"/>
          <w:szCs w:val="32"/>
        </w:rPr>
        <w:t xml:space="preserve">Mécanisme de </w:t>
      </w:r>
      <w:r w:rsidR="00C47D3C" w:rsidRPr="00306361">
        <w:rPr>
          <w:b/>
          <w:color w:val="0070C0"/>
          <w:sz w:val="32"/>
          <w:szCs w:val="32"/>
        </w:rPr>
        <w:t>Financement Mondial</w:t>
      </w:r>
      <w:r>
        <w:rPr>
          <w:b/>
          <w:color w:val="0070C0"/>
          <w:sz w:val="32"/>
          <w:szCs w:val="32"/>
        </w:rPr>
        <w:t xml:space="preserve"> </w:t>
      </w:r>
      <w:r w:rsidR="003C1F09" w:rsidRPr="00306361">
        <w:rPr>
          <w:b/>
          <w:color w:val="0070C0"/>
          <w:sz w:val="32"/>
          <w:szCs w:val="32"/>
        </w:rPr>
        <w:t>(GFF)</w:t>
      </w:r>
    </w:p>
    <w:p w:rsidR="00C47D3C" w:rsidRPr="00306361" w:rsidRDefault="00306361" w:rsidP="00306361">
      <w:pPr>
        <w:spacing w:after="0" w:line="240" w:lineRule="auto"/>
        <w:jc w:val="center"/>
        <w:rPr>
          <w:b/>
          <w:color w:val="70AD47" w:themeColor="accent6"/>
          <w:sz w:val="32"/>
          <w:szCs w:val="32"/>
        </w:rPr>
      </w:pPr>
      <w:r>
        <w:rPr>
          <w:b/>
          <w:color w:val="0070C0"/>
          <w:sz w:val="32"/>
          <w:szCs w:val="32"/>
        </w:rPr>
        <w:t xml:space="preserve">          Devrait</w:t>
      </w:r>
      <w:r w:rsidRPr="00306361">
        <w:rPr>
          <w:b/>
          <w:color w:val="0070C0"/>
          <w:sz w:val="32"/>
          <w:szCs w:val="32"/>
        </w:rPr>
        <w:t xml:space="preserve"> prioriser la nutrition au Burkina Faso</w:t>
      </w:r>
    </w:p>
    <w:p w:rsidR="00A936D7" w:rsidRDefault="00A936D7" w:rsidP="00A936D7">
      <w:pPr>
        <w:spacing w:after="0" w:line="240" w:lineRule="auto"/>
        <w:jc w:val="center"/>
        <w:rPr>
          <w:b/>
          <w:color w:val="00B050"/>
          <w:sz w:val="32"/>
          <w:szCs w:val="32"/>
        </w:rPr>
      </w:pPr>
    </w:p>
    <w:p w:rsidR="007C5DF5" w:rsidRPr="00306361" w:rsidRDefault="007C5DF5" w:rsidP="00A936D7">
      <w:pPr>
        <w:spacing w:after="0" w:line="240" w:lineRule="auto"/>
        <w:jc w:val="center"/>
        <w:rPr>
          <w:b/>
          <w:color w:val="00B050"/>
          <w:sz w:val="32"/>
          <w:szCs w:val="32"/>
        </w:rPr>
      </w:pPr>
    </w:p>
    <w:tbl>
      <w:tblPr>
        <w:tblStyle w:val="Grilledutableau"/>
        <w:tblW w:w="0" w:type="auto"/>
        <w:tblLook w:val="04A0" w:firstRow="1" w:lastRow="0" w:firstColumn="1" w:lastColumn="0" w:noHBand="0" w:noVBand="1"/>
      </w:tblPr>
      <w:tblGrid>
        <w:gridCol w:w="9042"/>
      </w:tblGrid>
      <w:tr w:rsidR="00306361" w:rsidRPr="00306361" w:rsidTr="0052546B">
        <w:tc>
          <w:tcPr>
            <w:tcW w:w="904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A936D7" w:rsidRPr="00306361" w:rsidRDefault="00A936D7" w:rsidP="00306361">
            <w:pPr>
              <w:spacing w:after="0" w:line="240" w:lineRule="auto"/>
              <w:jc w:val="both"/>
              <w:rPr>
                <w:b/>
                <w:color w:val="00B050"/>
              </w:rPr>
            </w:pPr>
            <w:r w:rsidRPr="00306361">
              <w:rPr>
                <w:b/>
                <w:color w:val="0070C0"/>
              </w:rPr>
              <w:t xml:space="preserve">Pourquoi le GFF fait </w:t>
            </w:r>
            <w:r w:rsidR="00306361">
              <w:rPr>
                <w:b/>
                <w:color w:val="0070C0"/>
              </w:rPr>
              <w:t>de</w:t>
            </w:r>
            <w:r w:rsidRPr="00306361">
              <w:rPr>
                <w:b/>
                <w:color w:val="0070C0"/>
              </w:rPr>
              <w:t xml:space="preserve"> la nutrition sa priorité?</w:t>
            </w:r>
          </w:p>
        </w:tc>
      </w:tr>
    </w:tbl>
    <w:p w:rsidR="007C5DF5" w:rsidRDefault="007C5DF5" w:rsidP="007C5DF5">
      <w:pPr>
        <w:pStyle w:val="Paragraphedeliste"/>
        <w:spacing w:line="240" w:lineRule="auto"/>
        <w:ind w:left="360"/>
        <w:jc w:val="both"/>
      </w:pPr>
    </w:p>
    <w:p w:rsidR="00140477" w:rsidRDefault="00BB1036" w:rsidP="007C5DF5">
      <w:pPr>
        <w:pStyle w:val="Paragraphedeliste"/>
        <w:numPr>
          <w:ilvl w:val="0"/>
          <w:numId w:val="14"/>
        </w:numPr>
        <w:spacing w:line="240" w:lineRule="auto"/>
        <w:jc w:val="both"/>
      </w:pPr>
      <w:r w:rsidRPr="00140477">
        <w:t xml:space="preserve">Le GFF cherche à contribuer aux efforts </w:t>
      </w:r>
      <w:hyperlink r:id="rId9" w:history="1">
        <w:r w:rsidR="003D0EDF">
          <w:rPr>
            <w:rStyle w:val="Lienhypertexte"/>
          </w:rPr>
          <w:t xml:space="preserve">en matière </w:t>
        </w:r>
        <w:r w:rsidR="00140477" w:rsidRPr="00140477">
          <w:rPr>
            <w:rStyle w:val="Lienhypertexte"/>
          </w:rPr>
          <w:t xml:space="preserve">de santé reproductive, maternelle, néonatale, infantile et adolescente </w:t>
        </w:r>
        <w:r w:rsidR="00140477" w:rsidRPr="007C5DF5">
          <w:rPr>
            <w:rStyle w:val="Lienhypertexte"/>
            <w:b/>
          </w:rPr>
          <w:t xml:space="preserve">et de la nutrition </w:t>
        </w:r>
        <w:r w:rsidR="00140477" w:rsidRPr="00140477">
          <w:rPr>
            <w:rStyle w:val="Lienhypertexte"/>
          </w:rPr>
          <w:t>d’ici à 2030</w:t>
        </w:r>
      </w:hyperlink>
      <w:r w:rsidR="00140477">
        <w:t xml:space="preserve"> (SRMNEA). </w:t>
      </w:r>
    </w:p>
    <w:p w:rsidR="007C5DF5" w:rsidRDefault="00140477" w:rsidP="003D0EDF">
      <w:pPr>
        <w:pStyle w:val="Paragraphedeliste"/>
        <w:numPr>
          <w:ilvl w:val="0"/>
          <w:numId w:val="14"/>
        </w:numPr>
        <w:spacing w:line="240" w:lineRule="auto"/>
        <w:jc w:val="both"/>
      </w:pPr>
      <w:r>
        <w:rPr>
          <w:noProof/>
        </w:rPr>
        <w:t>L</w:t>
      </w:r>
      <w:r w:rsidRPr="00306361">
        <w:rPr>
          <w:noProof/>
        </w:rPr>
        <w:t xml:space="preserve">e GFF </w:t>
      </w:r>
      <w:r>
        <w:rPr>
          <w:noProof/>
        </w:rPr>
        <w:t xml:space="preserve">a déclaré soutenir la nutrition </w:t>
      </w:r>
      <w:hyperlink r:id="rId10" w:history="1">
        <w:r w:rsidRPr="00140477">
          <w:rPr>
            <w:rStyle w:val="Lienhypertexte"/>
            <w:noProof/>
          </w:rPr>
          <w:t>« en tant qu’élément décisi</w:t>
        </w:r>
        <w:r>
          <w:rPr>
            <w:rStyle w:val="Lienhypertexte"/>
            <w:noProof/>
          </w:rPr>
          <w:t>f</w:t>
        </w:r>
        <w:r w:rsidRPr="00140477">
          <w:rPr>
            <w:rStyle w:val="Lienhypertexte"/>
          </w:rPr>
          <w:t xml:space="preserve"> pour le développement sain des femmes et des enfants, ainsi que pour leur bien-être. Etant donné son fort potentiel d’impact, le GFF a fait de la nutrition une priorité d’investissement</w:t>
        </w:r>
        <w:r w:rsidRPr="00140477">
          <w:rPr>
            <w:rStyle w:val="Lienhypertexte"/>
            <w:noProof/>
          </w:rPr>
          <w:t> ».</w:t>
        </w:r>
      </w:hyperlink>
      <w:r>
        <w:rPr>
          <w:noProof/>
        </w:rPr>
        <w:t xml:space="preserve"> </w:t>
      </w:r>
    </w:p>
    <w:p w:rsidR="00306361" w:rsidRPr="003D0EDF" w:rsidRDefault="00B6588E" w:rsidP="003D0EDF">
      <w:pPr>
        <w:pStyle w:val="Paragraphedeliste"/>
        <w:numPr>
          <w:ilvl w:val="0"/>
          <w:numId w:val="14"/>
        </w:numPr>
        <w:spacing w:line="240" w:lineRule="auto"/>
        <w:jc w:val="both"/>
      </w:pPr>
      <w:hyperlink r:id="rId11" w:history="1">
        <w:r w:rsidR="00140477">
          <w:rPr>
            <w:rStyle w:val="Lienhypertexte"/>
          </w:rPr>
          <w:t>L</w:t>
        </w:r>
        <w:r w:rsidR="00140477" w:rsidRPr="00140477">
          <w:rPr>
            <w:rStyle w:val="Lienhypertexte"/>
          </w:rPr>
          <w:t>’analyse menée par Action contre la Faim</w:t>
        </w:r>
      </w:hyperlink>
      <w:r w:rsidR="00140477">
        <w:t xml:space="preserve"> en 2017 montre </w:t>
      </w:r>
      <w:r w:rsidR="0052546B">
        <w:t xml:space="preserve">en effet </w:t>
      </w:r>
      <w:r w:rsidR="00140477">
        <w:t xml:space="preserve">que </w:t>
      </w:r>
      <w:r w:rsidR="00140477" w:rsidRPr="00306361">
        <w:rPr>
          <w:noProof/>
        </w:rPr>
        <w:t xml:space="preserve">le GFF intègre </w:t>
      </w:r>
      <w:r w:rsidR="0052546B">
        <w:rPr>
          <w:noProof/>
        </w:rPr>
        <w:t xml:space="preserve">déjà </w:t>
      </w:r>
      <w:r w:rsidR="00140477" w:rsidRPr="00306361">
        <w:rPr>
          <w:noProof/>
        </w:rPr>
        <w:t xml:space="preserve">des activités nutritionnelles dans tous les projets </w:t>
      </w:r>
      <w:r w:rsidR="00140477">
        <w:rPr>
          <w:noProof/>
        </w:rPr>
        <w:t>en cours dans l’ensemble des pays receveurs</w:t>
      </w:r>
      <w:r w:rsidR="00140477" w:rsidRPr="00306361">
        <w:rPr>
          <w:noProof/>
        </w:rPr>
        <w:t xml:space="preserve">, et que la </w:t>
      </w:r>
      <w:r w:rsidR="003D0EDF">
        <w:rPr>
          <w:noProof/>
        </w:rPr>
        <w:t xml:space="preserve">majorité </w:t>
      </w:r>
      <w:r w:rsidR="00140477" w:rsidRPr="00306361">
        <w:rPr>
          <w:noProof/>
        </w:rPr>
        <w:t>des projets tiennent compte de la nutrition dans leurs cadres de résultats (par ex. en incluant des objectifs et/ou indicateurs nutritionnels).</w:t>
      </w:r>
      <w:r w:rsidR="003D0EDF">
        <w:rPr>
          <w:noProof/>
        </w:rPr>
        <w:t xml:space="preserve"> </w:t>
      </w:r>
      <w:r w:rsidR="003D0EDF" w:rsidRPr="007C5DF5">
        <w:rPr>
          <w:b/>
          <w:noProof/>
        </w:rPr>
        <w:t>En général, les financements octroyés à la nutrition par le Fonds fiduciaire du GFF représentent un soutien financier considérable pour mettre en œuvre les programmes nutritionnels au niveau national</w:t>
      </w:r>
      <w:r w:rsidR="003D0EDF" w:rsidRPr="007C5DF5">
        <w:rPr>
          <w:b/>
        </w:rPr>
        <w:t>.</w:t>
      </w:r>
    </w:p>
    <w:tbl>
      <w:tblPr>
        <w:tblStyle w:val="Grilledutableau"/>
        <w:tblW w:w="0" w:type="auto"/>
        <w:tblLook w:val="04A0" w:firstRow="1" w:lastRow="0" w:firstColumn="1" w:lastColumn="0" w:noHBand="0" w:noVBand="1"/>
      </w:tblPr>
      <w:tblGrid>
        <w:gridCol w:w="9042"/>
      </w:tblGrid>
      <w:tr w:rsidR="00306361" w:rsidRPr="00306361" w:rsidTr="00972ADD">
        <w:tc>
          <w:tcPr>
            <w:tcW w:w="906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306361" w:rsidRPr="00306361" w:rsidRDefault="00306361" w:rsidP="00306361">
            <w:pPr>
              <w:spacing w:after="0" w:line="240" w:lineRule="auto"/>
              <w:jc w:val="both"/>
              <w:rPr>
                <w:b/>
                <w:color w:val="00B050"/>
              </w:rPr>
            </w:pPr>
            <w:r w:rsidRPr="00306361">
              <w:rPr>
                <w:b/>
                <w:color w:val="0070C0"/>
              </w:rPr>
              <w:t xml:space="preserve">Pourquoi le </w:t>
            </w:r>
            <w:r>
              <w:rPr>
                <w:b/>
                <w:color w:val="0070C0"/>
              </w:rPr>
              <w:t>Burkina Faso doit prioriser la nutrition dans son dossier d’investissement</w:t>
            </w:r>
          </w:p>
        </w:tc>
      </w:tr>
    </w:tbl>
    <w:p w:rsidR="0052546B" w:rsidRPr="003D0EDF" w:rsidRDefault="0052546B" w:rsidP="003D0EDF">
      <w:pPr>
        <w:autoSpaceDE w:val="0"/>
        <w:autoSpaceDN w:val="0"/>
        <w:adjustRightInd w:val="0"/>
        <w:spacing w:after="0" w:line="240" w:lineRule="auto"/>
        <w:jc w:val="both"/>
        <w:rPr>
          <w:rFonts w:cs="TimesNewRomanPSMT"/>
        </w:rPr>
      </w:pPr>
    </w:p>
    <w:p w:rsidR="003D0EDF" w:rsidRPr="000A493F" w:rsidRDefault="000A493F" w:rsidP="003225CE">
      <w:pPr>
        <w:pStyle w:val="Notedebasdepage"/>
        <w:numPr>
          <w:ilvl w:val="0"/>
          <w:numId w:val="10"/>
        </w:numPr>
        <w:autoSpaceDE w:val="0"/>
        <w:autoSpaceDN w:val="0"/>
        <w:adjustRightInd w:val="0"/>
        <w:jc w:val="both"/>
        <w:rPr>
          <w:rFonts w:cs="TimesNewRomanPSMT"/>
          <w:sz w:val="22"/>
          <w:szCs w:val="22"/>
        </w:rPr>
      </w:pPr>
      <w:r w:rsidRPr="000A493F">
        <w:rPr>
          <w:sz w:val="22"/>
          <w:szCs w:val="22"/>
        </w:rPr>
        <w:t xml:space="preserve">Le Burkina Faso a déjà largement démontré la priorité accordée à la question de la nutrition, notamment avec l’adoption en mai 2017 du </w:t>
      </w:r>
      <w:hyperlink r:id="rId12" w:history="1">
        <w:r w:rsidRPr="000A493F">
          <w:rPr>
            <w:rStyle w:val="Lienhypertexte"/>
            <w:sz w:val="22"/>
            <w:szCs w:val="22"/>
          </w:rPr>
          <w:t>plan stratégique multisectoriel de nutrition (PSMN 2016-2020)</w:t>
        </w:r>
      </w:hyperlink>
      <w:r w:rsidRPr="000A493F">
        <w:rPr>
          <w:sz w:val="22"/>
          <w:szCs w:val="22"/>
        </w:rPr>
        <w:t xml:space="preserve">, lequel, en s’alignant </w:t>
      </w:r>
      <w:r w:rsidRPr="000A493F">
        <w:rPr>
          <w:rFonts w:cs="Arial"/>
          <w:color w:val="000000"/>
          <w:sz w:val="22"/>
          <w:szCs w:val="22"/>
          <w:shd w:val="clear" w:color="auto" w:fill="FFFFFF"/>
        </w:rPr>
        <w:t>sur le Plan national de développement économique et social (PNDES), a défini les actions clés à mettre en œuvre par les différents secteurs sensibles et spécifiques pour améliorer la nutrition au Burkina Faso pour la période de 2016-2020</w:t>
      </w:r>
      <w:r w:rsidRPr="000A493F">
        <w:rPr>
          <w:sz w:val="22"/>
          <w:szCs w:val="22"/>
        </w:rPr>
        <w:t xml:space="preserve">. </w:t>
      </w:r>
      <w:r w:rsidR="003D0EDF" w:rsidRPr="000A493F">
        <w:rPr>
          <w:rFonts w:cs="Arial"/>
          <w:color w:val="000000"/>
          <w:sz w:val="22"/>
          <w:szCs w:val="22"/>
          <w:shd w:val="clear" w:color="auto" w:fill="FFFFFF"/>
        </w:rPr>
        <w:t>Toutefois, le PSMN, quel que soit sa qualité, ne permettra pas d’améliorer la situation nutritionnelle du pays s’il n’est</w:t>
      </w:r>
      <w:r w:rsidR="007C5DF5" w:rsidRPr="000A493F">
        <w:rPr>
          <w:rFonts w:cs="Arial"/>
          <w:color w:val="000000"/>
          <w:sz w:val="22"/>
          <w:szCs w:val="22"/>
          <w:shd w:val="clear" w:color="auto" w:fill="FFFFFF"/>
        </w:rPr>
        <w:t xml:space="preserve"> pas suivi de moyens financiers</w:t>
      </w:r>
      <w:r w:rsidR="003D0EDF" w:rsidRPr="000A493F">
        <w:rPr>
          <w:rFonts w:cs="Arial"/>
          <w:color w:val="000000"/>
          <w:sz w:val="22"/>
          <w:szCs w:val="22"/>
          <w:shd w:val="clear" w:color="auto" w:fill="FFFFFF"/>
        </w:rPr>
        <w:t xml:space="preserve"> permettant de mettre en œuvre les activités définies. </w:t>
      </w:r>
    </w:p>
    <w:p w:rsidR="003D0EDF" w:rsidRPr="003D0EDF" w:rsidRDefault="00B6588E" w:rsidP="003D0EDF">
      <w:pPr>
        <w:pStyle w:val="Paragraphedeliste"/>
        <w:numPr>
          <w:ilvl w:val="0"/>
          <w:numId w:val="10"/>
        </w:numPr>
        <w:autoSpaceDE w:val="0"/>
        <w:autoSpaceDN w:val="0"/>
        <w:adjustRightInd w:val="0"/>
        <w:spacing w:after="0" w:line="240" w:lineRule="auto"/>
        <w:jc w:val="both"/>
        <w:rPr>
          <w:rFonts w:cs="TimesNewRomanPSMT"/>
        </w:rPr>
      </w:pPr>
      <w:hyperlink r:id="rId13" w:history="1">
        <w:r w:rsidR="003D0EDF" w:rsidRPr="0052546B">
          <w:rPr>
            <w:rStyle w:val="Lienhypertexte"/>
            <w:rFonts w:cs="Times New Roman"/>
          </w:rPr>
          <w:t xml:space="preserve">Tous les dossiers d’investissement nationaux </w:t>
        </w:r>
        <w:r w:rsidR="003D0EDF">
          <w:rPr>
            <w:rStyle w:val="Lienhypertexte"/>
            <w:rFonts w:cs="Times New Roman"/>
          </w:rPr>
          <w:t xml:space="preserve">du GFF dans d’autres pays </w:t>
        </w:r>
        <w:r w:rsidR="003D0EDF" w:rsidRPr="0052546B">
          <w:rPr>
            <w:rStyle w:val="Lienhypertexte"/>
            <w:rFonts w:cs="Times New Roman"/>
          </w:rPr>
          <w:t>plaident aujourd’hui pour un financement accru à la nutrition</w:t>
        </w:r>
      </w:hyperlink>
      <w:r w:rsidR="003D0EDF">
        <w:rPr>
          <w:rFonts w:cs="Times New Roman"/>
        </w:rPr>
        <w:t xml:space="preserve">. </w:t>
      </w:r>
      <w:r w:rsidR="003D0EDF" w:rsidRPr="003D0EDF">
        <w:rPr>
          <w:rFonts w:cs="Times New Roman"/>
        </w:rPr>
        <w:t>Les discussions en cours autour du dossier d’investissement sont l’occasion pour le Burkina Faso d</w:t>
      </w:r>
      <w:r w:rsidR="003D0EDF">
        <w:rPr>
          <w:rFonts w:cs="Times New Roman"/>
        </w:rPr>
        <w:t xml:space="preserve">e rappeler son </w:t>
      </w:r>
      <w:r w:rsidR="003D0EDF" w:rsidRPr="003D0EDF">
        <w:rPr>
          <w:rFonts w:cs="TimesNewRomanPSMT"/>
          <w:b/>
        </w:rPr>
        <w:t xml:space="preserve">engagement exemplaire en matière de lutte </w:t>
      </w:r>
      <w:r w:rsidR="003D0EDF">
        <w:rPr>
          <w:rFonts w:cs="TimesNewRomanPSMT"/>
          <w:b/>
        </w:rPr>
        <w:t xml:space="preserve">contre la malnutrition. </w:t>
      </w:r>
    </w:p>
    <w:p w:rsidR="003D0EDF" w:rsidRPr="007C5DF5" w:rsidRDefault="003D0EDF" w:rsidP="003D0EDF">
      <w:pPr>
        <w:pStyle w:val="Paragraphedeliste"/>
        <w:numPr>
          <w:ilvl w:val="0"/>
          <w:numId w:val="10"/>
        </w:numPr>
        <w:autoSpaceDE w:val="0"/>
        <w:autoSpaceDN w:val="0"/>
        <w:adjustRightInd w:val="0"/>
        <w:spacing w:after="0" w:line="240" w:lineRule="auto"/>
        <w:jc w:val="both"/>
        <w:rPr>
          <w:rFonts w:cs="TimesNewRomanPSMT"/>
        </w:rPr>
      </w:pPr>
      <w:r>
        <w:t xml:space="preserve">L’engagement concret du Burkina Faso à prioriser les interventions spécifiques nutritionnelles en matière de santé, en lien avec les différentes politiques existantes, démontrera aux bailleurs de fonds la volonté politique du gouvernement et pourra attirer des nouveaux financements des bailleurs de fonds pour la nutrition qui s’aligneront aux priorités définis dans le dossier d’investissement. </w:t>
      </w:r>
      <w:r w:rsidRPr="003D0EDF">
        <w:rPr>
          <w:b/>
        </w:rPr>
        <w:t>Cela permettra d’attirer les investisseurs pour couvrir</w:t>
      </w:r>
      <w:r w:rsidRPr="003D0EDF">
        <w:rPr>
          <w:rFonts w:cstheme="majorBidi"/>
          <w:b/>
        </w:rPr>
        <w:t xml:space="preserve"> une partie des dépenses liées au plan stratégique multisectoriel de nutrition.</w:t>
      </w:r>
    </w:p>
    <w:p w:rsidR="007C5DF5" w:rsidRPr="007C5DF5" w:rsidRDefault="007C5DF5" w:rsidP="007C5DF5">
      <w:pPr>
        <w:pStyle w:val="Paragraphedeliste"/>
        <w:numPr>
          <w:ilvl w:val="0"/>
          <w:numId w:val="10"/>
        </w:numPr>
        <w:spacing w:after="0" w:line="240" w:lineRule="auto"/>
        <w:jc w:val="both"/>
      </w:pPr>
      <w:r>
        <w:t xml:space="preserve">En se basant sur le </w:t>
      </w:r>
      <w:proofErr w:type="spellStart"/>
      <w:r>
        <w:t>costing</w:t>
      </w:r>
      <w:proofErr w:type="spellEnd"/>
      <w:r>
        <w:t xml:space="preserve"> de son PSMN, </w:t>
      </w:r>
      <w:r w:rsidRPr="007C5DF5">
        <w:rPr>
          <w:b/>
        </w:rPr>
        <w:t>le Burkina Faso pourrait également profiter de cette occasion pour annoncer un</w:t>
      </w:r>
      <w:r w:rsidRPr="007C5DF5">
        <w:rPr>
          <w:rFonts w:cs="TimesNewRomanPSMT"/>
          <w:b/>
        </w:rPr>
        <w:t xml:space="preserve"> engagement financier </w:t>
      </w:r>
      <w:r>
        <w:rPr>
          <w:rFonts w:cs="TimesNewRomanPSMT"/>
          <w:b/>
        </w:rPr>
        <w:t>pour la nutrition</w:t>
      </w:r>
      <w:r>
        <w:rPr>
          <w:rFonts w:cs="TimesNewRomanPSMT"/>
        </w:rPr>
        <w:t xml:space="preserve"> venant compléter les engagements des bailleurs</w:t>
      </w:r>
      <w:r w:rsidRPr="00A32034">
        <w:rPr>
          <w:rFonts w:cs="TimesNewRomanPSMT"/>
        </w:rPr>
        <w:t xml:space="preserve">. </w:t>
      </w:r>
      <w:r w:rsidRPr="007C5DF5">
        <w:rPr>
          <w:rFonts w:cs="TimesNewRomanPSMT"/>
        </w:rPr>
        <w:t xml:space="preserve">Par ailleurs, afin d’atteindre ses objectifs, le gouvernement pourrait également annoncer une amélioration </w:t>
      </w:r>
      <w:r w:rsidRPr="007C5DF5">
        <w:rPr>
          <w:rFonts w:ascii="Calibri" w:hAnsi="Calibri" w:cs="Calibri"/>
        </w:rPr>
        <w:t xml:space="preserve">du dispositif de coordination multisectoriel de la nutrition, avec </w:t>
      </w:r>
      <w:r w:rsidRPr="007C5DF5">
        <w:rPr>
          <w:rFonts w:cs="TimesNewRomanPSMT"/>
        </w:rPr>
        <w:t xml:space="preserve">un ancrage institutionnel du CNCN (conseil National de concertation en Nutrition) à la primature. </w:t>
      </w:r>
    </w:p>
    <w:p w:rsidR="007C5DF5" w:rsidRPr="000A493F" w:rsidRDefault="003D0EDF" w:rsidP="000A493F">
      <w:pPr>
        <w:pStyle w:val="NormalWeb"/>
        <w:numPr>
          <w:ilvl w:val="0"/>
          <w:numId w:val="10"/>
        </w:numPr>
        <w:shd w:val="clear" w:color="auto" w:fill="FFFFFF"/>
        <w:spacing w:before="0" w:beforeAutospacing="0" w:after="0" w:afterAutospacing="0"/>
        <w:jc w:val="both"/>
        <w:rPr>
          <w:rFonts w:asciiTheme="minorHAnsi" w:hAnsiTheme="minorHAnsi" w:cs="Arial"/>
          <w:sz w:val="22"/>
          <w:szCs w:val="22"/>
        </w:rPr>
      </w:pPr>
      <w:r>
        <w:rPr>
          <w:rFonts w:asciiTheme="minorHAnsi" w:hAnsiTheme="minorHAnsi" w:cs="Arial"/>
          <w:sz w:val="22"/>
          <w:szCs w:val="22"/>
        </w:rPr>
        <w:t xml:space="preserve">Les efforts en matière de nutrition </w:t>
      </w:r>
      <w:r w:rsidRPr="003D0EDF">
        <w:rPr>
          <w:rFonts w:asciiTheme="minorHAnsi" w:hAnsiTheme="minorHAnsi" w:cs="Arial"/>
          <w:b/>
          <w:sz w:val="22"/>
          <w:szCs w:val="22"/>
        </w:rPr>
        <w:t>viendront également renforcer les efforts du gouvernement en matière d’éducation, de santé et de lutte contre la pauvreté ; secteurs prioritaires pour les partenaires techniques et financiers.</w:t>
      </w:r>
      <w:r>
        <w:rPr>
          <w:rFonts w:asciiTheme="minorHAnsi" w:hAnsiTheme="minorHAnsi" w:cs="Arial"/>
          <w:sz w:val="22"/>
          <w:szCs w:val="22"/>
        </w:rPr>
        <w:t xml:space="preserve"> </w:t>
      </w:r>
    </w:p>
    <w:p w:rsidR="007C5DF5" w:rsidRDefault="007C5DF5" w:rsidP="007C5DF5">
      <w:pPr>
        <w:pStyle w:val="NormalWeb"/>
        <w:shd w:val="clear" w:color="auto" w:fill="FFFFFF"/>
        <w:spacing w:before="0" w:beforeAutospacing="0" w:after="0" w:afterAutospacing="0"/>
        <w:ind w:left="360"/>
        <w:jc w:val="both"/>
        <w:rPr>
          <w:rFonts w:asciiTheme="minorHAnsi" w:hAnsiTheme="minorHAnsi" w:cs="Arial"/>
          <w:sz w:val="22"/>
          <w:szCs w:val="22"/>
        </w:rPr>
      </w:pPr>
    </w:p>
    <w:p w:rsidR="006F5216" w:rsidRDefault="006F5216" w:rsidP="007C5DF5">
      <w:pPr>
        <w:pStyle w:val="NormalWeb"/>
        <w:shd w:val="clear" w:color="auto" w:fill="FFFFFF"/>
        <w:spacing w:before="0" w:beforeAutospacing="0" w:after="0" w:afterAutospacing="0"/>
        <w:ind w:left="360"/>
        <w:jc w:val="both"/>
        <w:rPr>
          <w:rFonts w:asciiTheme="minorHAnsi" w:hAnsiTheme="minorHAnsi" w:cs="Arial"/>
          <w:sz w:val="22"/>
          <w:szCs w:val="22"/>
        </w:rPr>
      </w:pPr>
    </w:p>
    <w:p w:rsidR="006F5216" w:rsidRDefault="006F5216" w:rsidP="007C5DF5">
      <w:pPr>
        <w:pStyle w:val="NormalWeb"/>
        <w:shd w:val="clear" w:color="auto" w:fill="FFFFFF"/>
        <w:spacing w:before="0" w:beforeAutospacing="0" w:after="0" w:afterAutospacing="0"/>
        <w:ind w:left="360"/>
        <w:jc w:val="both"/>
        <w:rPr>
          <w:rFonts w:asciiTheme="minorHAnsi" w:hAnsiTheme="minorHAnsi" w:cs="Arial"/>
          <w:sz w:val="22"/>
          <w:szCs w:val="22"/>
        </w:rPr>
      </w:pPr>
    </w:p>
    <w:p w:rsidR="006F5216" w:rsidRDefault="006F5216" w:rsidP="007C5DF5">
      <w:pPr>
        <w:pStyle w:val="NormalWeb"/>
        <w:shd w:val="clear" w:color="auto" w:fill="FFFFFF"/>
        <w:spacing w:before="0" w:beforeAutospacing="0" w:after="0" w:afterAutospacing="0"/>
        <w:ind w:left="360"/>
        <w:jc w:val="both"/>
        <w:rPr>
          <w:rFonts w:asciiTheme="minorHAnsi" w:hAnsiTheme="minorHAnsi" w:cs="Arial"/>
          <w:sz w:val="22"/>
          <w:szCs w:val="22"/>
        </w:rPr>
      </w:pPr>
    </w:p>
    <w:p w:rsidR="006F5216" w:rsidRPr="007C5DF5" w:rsidRDefault="006F5216" w:rsidP="007C5DF5">
      <w:pPr>
        <w:pStyle w:val="NormalWeb"/>
        <w:shd w:val="clear" w:color="auto" w:fill="FFFFFF"/>
        <w:spacing w:before="0" w:beforeAutospacing="0" w:after="0" w:afterAutospacing="0"/>
        <w:ind w:left="360"/>
        <w:jc w:val="both"/>
        <w:rPr>
          <w:rFonts w:asciiTheme="minorHAnsi" w:hAnsiTheme="minorHAnsi" w:cs="Arial"/>
          <w:sz w:val="22"/>
          <w:szCs w:val="22"/>
        </w:rPr>
      </w:pPr>
    </w:p>
    <w:tbl>
      <w:tblPr>
        <w:tblStyle w:val="Grilledutableau"/>
        <w:tblW w:w="0" w:type="auto"/>
        <w:tblLook w:val="04A0" w:firstRow="1" w:lastRow="0" w:firstColumn="1" w:lastColumn="0" w:noHBand="0" w:noVBand="1"/>
      </w:tblPr>
      <w:tblGrid>
        <w:gridCol w:w="9042"/>
      </w:tblGrid>
      <w:tr w:rsidR="007C5DF5" w:rsidRPr="00306361" w:rsidTr="00972ADD">
        <w:tc>
          <w:tcPr>
            <w:tcW w:w="906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7C5DF5" w:rsidRPr="00306361" w:rsidRDefault="007C5DF5" w:rsidP="007C5DF5">
            <w:pPr>
              <w:spacing w:after="0" w:line="240" w:lineRule="auto"/>
              <w:jc w:val="both"/>
              <w:rPr>
                <w:b/>
                <w:color w:val="00B050"/>
              </w:rPr>
            </w:pPr>
            <w:r>
              <w:rPr>
                <w:b/>
                <w:color w:val="0070C0"/>
              </w:rPr>
              <w:lastRenderedPageBreak/>
              <w:t xml:space="preserve">La Société Civile : un allié pour prioriser la nutrition </w:t>
            </w:r>
          </w:p>
        </w:tc>
      </w:tr>
    </w:tbl>
    <w:p w:rsidR="007C5DF5" w:rsidRDefault="007C5DF5" w:rsidP="00306361">
      <w:pPr>
        <w:pStyle w:val="Titre3"/>
        <w:spacing w:before="0" w:line="240" w:lineRule="auto"/>
        <w:jc w:val="both"/>
        <w:rPr>
          <w:rFonts w:ascii="Calibri" w:hAnsi="Calibri"/>
          <w:b w:val="0"/>
          <w:color w:val="000000" w:themeColor="text1"/>
        </w:rPr>
      </w:pPr>
    </w:p>
    <w:p w:rsidR="008656BD" w:rsidRPr="008656BD" w:rsidRDefault="00306361" w:rsidP="008656BD">
      <w:pPr>
        <w:pStyle w:val="Titre3"/>
        <w:numPr>
          <w:ilvl w:val="0"/>
          <w:numId w:val="16"/>
        </w:numPr>
        <w:spacing w:before="0" w:line="240" w:lineRule="auto"/>
        <w:jc w:val="both"/>
        <w:rPr>
          <w:b w:val="0"/>
        </w:rPr>
      </w:pPr>
      <w:r w:rsidRPr="00306361">
        <w:rPr>
          <w:rFonts w:ascii="Calibri" w:hAnsi="Calibri"/>
          <w:b w:val="0"/>
          <w:color w:val="000000" w:themeColor="text1"/>
        </w:rPr>
        <w:t>Pour atteindre ces objectifs</w:t>
      </w:r>
      <w:r>
        <w:rPr>
          <w:rFonts w:ascii="Calibri" w:hAnsi="Calibri"/>
          <w:b w:val="0"/>
          <w:color w:val="000000" w:themeColor="text1"/>
        </w:rPr>
        <w:t xml:space="preserve"> en matière de SRMNEA</w:t>
      </w:r>
      <w:r w:rsidR="007C5DF5">
        <w:rPr>
          <w:rFonts w:ascii="Calibri" w:hAnsi="Calibri"/>
          <w:b w:val="0"/>
          <w:color w:val="000000" w:themeColor="text1"/>
        </w:rPr>
        <w:t xml:space="preserve"> et de nutrition</w:t>
      </w:r>
      <w:r>
        <w:rPr>
          <w:rFonts w:ascii="Calibri" w:hAnsi="Calibri"/>
          <w:b w:val="0"/>
          <w:color w:val="000000" w:themeColor="text1"/>
        </w:rPr>
        <w:t>, le GFF a rappelé la nécessité d’</w:t>
      </w:r>
      <w:r w:rsidRPr="00306361">
        <w:rPr>
          <w:rFonts w:ascii="Calibri" w:hAnsi="Calibri"/>
          <w:b w:val="0"/>
          <w:color w:val="000000" w:themeColor="text1"/>
        </w:rPr>
        <w:t>adopter une approche globale et holistique, en s’appuyant sur les points forts de tous les acteurs intéressés.</w:t>
      </w:r>
      <w:r>
        <w:rPr>
          <w:rFonts w:ascii="Calibri" w:hAnsi="Calibri"/>
          <w:b w:val="0"/>
          <w:color w:val="000000" w:themeColor="text1"/>
        </w:rPr>
        <w:t xml:space="preserve"> </w:t>
      </w:r>
      <w:r w:rsidR="008656BD">
        <w:rPr>
          <w:rFonts w:ascii="Calibri" w:hAnsi="Calibri"/>
          <w:color w:val="000000" w:themeColor="text1"/>
        </w:rPr>
        <w:t>La société Civile</w:t>
      </w:r>
      <w:r w:rsidR="000A493F">
        <w:rPr>
          <w:rFonts w:ascii="Calibri" w:hAnsi="Calibri"/>
          <w:color w:val="000000" w:themeColor="text1"/>
        </w:rPr>
        <w:t xml:space="preserve"> est un de ses acteurs.</w:t>
      </w:r>
    </w:p>
    <w:p w:rsidR="008656BD" w:rsidRDefault="008656BD" w:rsidP="007C5DF5">
      <w:pPr>
        <w:pStyle w:val="Titre3"/>
        <w:numPr>
          <w:ilvl w:val="0"/>
          <w:numId w:val="15"/>
        </w:numPr>
        <w:spacing w:before="0" w:line="240" w:lineRule="auto"/>
        <w:jc w:val="both"/>
        <w:rPr>
          <w:rFonts w:ascii="Calibri" w:hAnsi="Calibri"/>
          <w:b w:val="0"/>
          <w:color w:val="000000" w:themeColor="text1"/>
        </w:rPr>
      </w:pPr>
      <w:r>
        <w:rPr>
          <w:rFonts w:ascii="Calibri" w:hAnsi="Calibri"/>
          <w:b w:val="0"/>
          <w:color w:val="000000" w:themeColor="text1"/>
        </w:rPr>
        <w:t>En approuvant la stratégie d’engagement de la société civile, l</w:t>
      </w:r>
      <w:r w:rsidR="007C5DF5">
        <w:rPr>
          <w:rFonts w:ascii="Calibri" w:hAnsi="Calibri"/>
          <w:b w:val="0"/>
          <w:color w:val="000000" w:themeColor="text1"/>
        </w:rPr>
        <w:t xml:space="preserve">e groupe des Investisseurs du GFF a </w:t>
      </w:r>
      <w:r>
        <w:rPr>
          <w:rFonts w:ascii="Calibri" w:hAnsi="Calibri"/>
          <w:b w:val="0"/>
          <w:color w:val="000000" w:themeColor="text1"/>
        </w:rPr>
        <w:t xml:space="preserve">notamment insisté </w:t>
      </w:r>
      <w:hyperlink r:id="rId14" w:history="1">
        <w:r w:rsidRPr="008656BD">
          <w:rPr>
            <w:rStyle w:val="Lienhypertexte"/>
            <w:rFonts w:ascii="Calibri" w:hAnsi="Calibri"/>
            <w:b w:val="0"/>
          </w:rPr>
          <w:t>sur la nécessité de s’appuyer sur l’expertise et l’expérience des Organisations de la Société Civile tant aux niveaux local, régional, national et international.</w:t>
        </w:r>
      </w:hyperlink>
      <w:r>
        <w:rPr>
          <w:rFonts w:ascii="Calibri" w:hAnsi="Calibri"/>
          <w:b w:val="0"/>
          <w:color w:val="000000" w:themeColor="text1"/>
        </w:rPr>
        <w:t xml:space="preserve"> Au Nigeria, au Cameroun</w:t>
      </w:r>
      <w:r w:rsidR="000A493F">
        <w:rPr>
          <w:rFonts w:ascii="Calibri" w:hAnsi="Calibri"/>
          <w:b w:val="0"/>
          <w:color w:val="000000" w:themeColor="text1"/>
        </w:rPr>
        <w:t>, en Ouganda</w:t>
      </w:r>
      <w:r>
        <w:rPr>
          <w:rFonts w:ascii="Calibri" w:hAnsi="Calibri"/>
          <w:b w:val="0"/>
          <w:color w:val="000000" w:themeColor="text1"/>
        </w:rPr>
        <w:t xml:space="preserve"> et ailleurs : les exemples ne manquent </w:t>
      </w:r>
      <w:r w:rsidR="000A493F">
        <w:rPr>
          <w:rFonts w:ascii="Calibri" w:hAnsi="Calibri"/>
          <w:b w:val="0"/>
          <w:color w:val="000000" w:themeColor="text1"/>
        </w:rPr>
        <w:t>prouvant</w:t>
      </w:r>
      <w:r>
        <w:rPr>
          <w:rFonts w:ascii="Calibri" w:hAnsi="Calibri"/>
          <w:b w:val="0"/>
          <w:color w:val="000000" w:themeColor="text1"/>
        </w:rPr>
        <w:t xml:space="preserve"> le soutien nécessaire de la Société Civile à l’élaboration des Dossiers d’Investissement.  </w:t>
      </w:r>
    </w:p>
    <w:p w:rsidR="000A493F" w:rsidRPr="000A493F" w:rsidRDefault="000A493F" w:rsidP="000A493F">
      <w:pPr>
        <w:pStyle w:val="Notedebasdepage"/>
        <w:numPr>
          <w:ilvl w:val="0"/>
          <w:numId w:val="15"/>
        </w:numPr>
        <w:autoSpaceDE w:val="0"/>
        <w:autoSpaceDN w:val="0"/>
        <w:adjustRightInd w:val="0"/>
        <w:jc w:val="both"/>
        <w:rPr>
          <w:rFonts w:cs="TimesNewRomanPSMT"/>
          <w:sz w:val="22"/>
          <w:szCs w:val="22"/>
        </w:rPr>
      </w:pPr>
      <w:r>
        <w:rPr>
          <w:sz w:val="22"/>
          <w:szCs w:val="22"/>
        </w:rPr>
        <w:t>Le Burkina Faso est</w:t>
      </w:r>
      <w:r w:rsidRPr="000A493F">
        <w:rPr>
          <w:rFonts w:cs="TimesNewRomanPSMT"/>
          <w:sz w:val="22"/>
          <w:szCs w:val="22"/>
        </w:rPr>
        <w:t xml:space="preserve"> déjà très avancé sur la question puisqu’il adopte déjà une approche </w:t>
      </w:r>
      <w:r w:rsidRPr="000A493F">
        <w:rPr>
          <w:rFonts w:cs="TimesNewRomanPSMT"/>
          <w:b/>
          <w:sz w:val="22"/>
          <w:szCs w:val="22"/>
        </w:rPr>
        <w:t>inclusive</w:t>
      </w:r>
      <w:r w:rsidRPr="000A493F">
        <w:rPr>
          <w:rFonts w:cs="TimesNewRomanPSMT"/>
          <w:sz w:val="22"/>
          <w:szCs w:val="22"/>
        </w:rPr>
        <w:t xml:space="preserve"> </w:t>
      </w:r>
      <w:r>
        <w:rPr>
          <w:rFonts w:cs="TimesNewRomanPSMT"/>
          <w:sz w:val="22"/>
          <w:szCs w:val="22"/>
        </w:rPr>
        <w:t xml:space="preserve">en matière de nutrition </w:t>
      </w:r>
      <w:r w:rsidRPr="000A493F">
        <w:rPr>
          <w:rFonts w:cs="TimesNewRomanPSMT"/>
          <w:sz w:val="22"/>
          <w:szCs w:val="22"/>
        </w:rPr>
        <w:t xml:space="preserve">(avec l’ensemble des acteurs), </w:t>
      </w:r>
      <w:r w:rsidRPr="000A493F">
        <w:rPr>
          <w:rFonts w:cs="TimesNewRomanPSMT"/>
          <w:b/>
          <w:sz w:val="22"/>
          <w:szCs w:val="22"/>
        </w:rPr>
        <w:t>multisectorielle</w:t>
      </w:r>
      <w:r w:rsidRPr="000A493F">
        <w:rPr>
          <w:rFonts w:cs="TimesNewRomanPSMT"/>
          <w:sz w:val="22"/>
          <w:szCs w:val="22"/>
        </w:rPr>
        <w:t xml:space="preserve"> (avec l’ensemble des secteurs) et </w:t>
      </w:r>
      <w:r w:rsidRPr="000A493F">
        <w:rPr>
          <w:rFonts w:cs="TimesNewRomanPSMT"/>
          <w:b/>
          <w:sz w:val="22"/>
          <w:szCs w:val="22"/>
        </w:rPr>
        <w:t>cohérente</w:t>
      </w:r>
      <w:r w:rsidRPr="000A493F">
        <w:rPr>
          <w:rFonts w:cs="TimesNewRomanPSMT"/>
          <w:sz w:val="22"/>
          <w:szCs w:val="22"/>
        </w:rPr>
        <w:t xml:space="preserve"> (le PSMN étant aligné sur le plan de développement économique et social du pays).</w:t>
      </w:r>
    </w:p>
    <w:p w:rsidR="007E587B" w:rsidRPr="007E587B" w:rsidRDefault="000A493F" w:rsidP="007E587B">
      <w:pPr>
        <w:pStyle w:val="Titre3"/>
        <w:numPr>
          <w:ilvl w:val="0"/>
          <w:numId w:val="15"/>
        </w:numPr>
        <w:spacing w:before="0" w:line="240" w:lineRule="auto"/>
        <w:jc w:val="both"/>
        <w:rPr>
          <w:rFonts w:asciiTheme="minorHAnsi" w:hAnsiTheme="minorHAnsi"/>
          <w:b w:val="0"/>
          <w:color w:val="auto"/>
        </w:rPr>
      </w:pPr>
      <w:r>
        <w:rPr>
          <w:rFonts w:asciiTheme="minorHAnsi" w:hAnsiTheme="minorHAnsi"/>
          <w:color w:val="auto"/>
        </w:rPr>
        <w:t>L</w:t>
      </w:r>
      <w:r w:rsidR="00C47D3C" w:rsidRPr="008656BD">
        <w:rPr>
          <w:rFonts w:asciiTheme="minorHAnsi" w:hAnsiTheme="minorHAnsi"/>
          <w:color w:val="auto"/>
        </w:rPr>
        <w:t>e réseau de la Société Civile pour la nutrition (RESONUT) créé en 2014 et reconnu officiellement en 2016 est très engagé en faveur de l’amélioration de l’état nutritionnel des populations au Burkina Faso.</w:t>
      </w:r>
      <w:r w:rsidR="00C47D3C" w:rsidRPr="008656BD">
        <w:rPr>
          <w:rFonts w:asciiTheme="minorHAnsi" w:hAnsiTheme="minorHAnsi"/>
          <w:b w:val="0"/>
          <w:color w:val="auto"/>
        </w:rPr>
        <w:t xml:space="preserve"> Reconnu comme tel par le gouvernement, il participe activement à la coordination entre acteurs sur la nutrition.</w:t>
      </w:r>
      <w:r w:rsidR="00306361" w:rsidRPr="008656BD">
        <w:rPr>
          <w:rFonts w:asciiTheme="minorHAnsi" w:hAnsiTheme="minorHAnsi"/>
          <w:b w:val="0"/>
          <w:color w:val="auto"/>
        </w:rPr>
        <w:t xml:space="preserve"> </w:t>
      </w:r>
      <w:r w:rsidR="00C47D3C" w:rsidRPr="008656BD">
        <w:rPr>
          <w:rFonts w:asciiTheme="minorHAnsi" w:hAnsiTheme="minorHAnsi"/>
          <w:b w:val="0"/>
          <w:color w:val="auto"/>
        </w:rPr>
        <w:t xml:space="preserve">De nombreux acteurs sont très bien formés en matière d’analyse budgétaire et de suivi des politiques publiques. La société civile a déjà mené plusieurs analyses </w:t>
      </w:r>
      <w:r w:rsidR="00306361" w:rsidRPr="008656BD">
        <w:rPr>
          <w:rFonts w:asciiTheme="minorHAnsi" w:hAnsiTheme="minorHAnsi"/>
          <w:b w:val="0"/>
          <w:color w:val="auto"/>
        </w:rPr>
        <w:t>en matière de nutrition</w:t>
      </w:r>
      <w:r w:rsidR="00306361" w:rsidRPr="008656BD">
        <w:rPr>
          <w:rStyle w:val="Appelnotedebasdep"/>
          <w:rFonts w:asciiTheme="minorHAnsi" w:hAnsiTheme="minorHAnsi"/>
          <w:b w:val="0"/>
          <w:color w:val="auto"/>
        </w:rPr>
        <w:footnoteReference w:id="1"/>
      </w:r>
      <w:r w:rsidR="00306361" w:rsidRPr="008656BD">
        <w:rPr>
          <w:rFonts w:asciiTheme="minorHAnsi" w:hAnsiTheme="minorHAnsi"/>
          <w:b w:val="0"/>
          <w:color w:val="auto"/>
        </w:rPr>
        <w:t xml:space="preserve"> </w:t>
      </w:r>
      <w:r w:rsidR="00C47D3C" w:rsidRPr="008656BD">
        <w:rPr>
          <w:rFonts w:asciiTheme="minorHAnsi" w:hAnsiTheme="minorHAnsi"/>
          <w:b w:val="0"/>
          <w:color w:val="auto"/>
        </w:rPr>
        <w:t xml:space="preserve">qui viennent soutenir les efforts du gouvernement en matière de nutrition et pourront aider à la définition d’engagements spécifiques pour le </w:t>
      </w:r>
      <w:r w:rsidR="007C5DF5" w:rsidRPr="008656BD">
        <w:rPr>
          <w:rFonts w:asciiTheme="minorHAnsi" w:hAnsiTheme="minorHAnsi"/>
          <w:b w:val="0"/>
          <w:color w:val="auto"/>
        </w:rPr>
        <w:t xml:space="preserve">Dossier d’Investissement. </w:t>
      </w:r>
      <w:r w:rsidR="00C47D3C" w:rsidRPr="008656BD">
        <w:rPr>
          <w:rFonts w:asciiTheme="minorHAnsi" w:hAnsiTheme="minorHAnsi"/>
          <w:b w:val="0"/>
          <w:color w:val="auto"/>
        </w:rPr>
        <w:t xml:space="preserve"> </w:t>
      </w:r>
    </w:p>
    <w:p w:rsidR="007E587B" w:rsidRPr="007C5DF5" w:rsidRDefault="007E587B" w:rsidP="007E587B">
      <w:pPr>
        <w:pStyle w:val="NormalWeb"/>
        <w:shd w:val="clear" w:color="auto" w:fill="FFFFFF"/>
        <w:spacing w:before="0" w:beforeAutospacing="0" w:after="0" w:afterAutospacing="0"/>
        <w:ind w:left="360"/>
        <w:jc w:val="both"/>
        <w:rPr>
          <w:rFonts w:asciiTheme="minorHAnsi" w:hAnsiTheme="minorHAnsi" w:cs="Arial"/>
          <w:sz w:val="22"/>
          <w:szCs w:val="22"/>
        </w:rPr>
      </w:pPr>
    </w:p>
    <w:tbl>
      <w:tblPr>
        <w:tblStyle w:val="Grilledutableau"/>
        <w:tblW w:w="0" w:type="auto"/>
        <w:tblLook w:val="04A0" w:firstRow="1" w:lastRow="0" w:firstColumn="1" w:lastColumn="0" w:noHBand="0" w:noVBand="1"/>
      </w:tblPr>
      <w:tblGrid>
        <w:gridCol w:w="9042"/>
      </w:tblGrid>
      <w:tr w:rsidR="007E587B" w:rsidRPr="00306361" w:rsidTr="00972ADD">
        <w:tc>
          <w:tcPr>
            <w:tcW w:w="9062"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rsidR="007E587B" w:rsidRPr="007E587B" w:rsidRDefault="007E587B" w:rsidP="007E587B">
            <w:pPr>
              <w:pStyle w:val="Titre3"/>
              <w:spacing w:before="0" w:line="240" w:lineRule="auto"/>
              <w:jc w:val="both"/>
              <w:outlineLvl w:val="2"/>
              <w:rPr>
                <w:rFonts w:asciiTheme="minorHAnsi" w:hAnsiTheme="minorHAnsi"/>
                <w:b w:val="0"/>
                <w:color w:val="0070C0"/>
              </w:rPr>
            </w:pPr>
            <w:r w:rsidRPr="007E587B">
              <w:rPr>
                <w:rFonts w:asciiTheme="minorHAnsi" w:hAnsiTheme="minorHAnsi"/>
                <w:color w:val="0070C0"/>
              </w:rPr>
              <w:t xml:space="preserve">Le RESONUT est donc un allié </w:t>
            </w:r>
            <w:r w:rsidRPr="007E587B">
              <w:rPr>
                <w:rFonts w:asciiTheme="minorHAnsi" w:hAnsiTheme="minorHAnsi"/>
                <w:b w:val="0"/>
                <w:color w:val="0070C0"/>
              </w:rPr>
              <w:t>pour le gouvernement burkinabé en matière de lutte contre la malnutrition,</w:t>
            </w:r>
            <w:r w:rsidRPr="007E587B">
              <w:rPr>
                <w:rFonts w:asciiTheme="minorHAnsi" w:hAnsiTheme="minorHAnsi"/>
                <w:color w:val="0070C0"/>
              </w:rPr>
              <w:t xml:space="preserve"> tout en représentant également une caution en matière de redevabilité, d’inclusion et de transparence. </w:t>
            </w:r>
            <w:r w:rsidRPr="007E587B">
              <w:rPr>
                <w:rFonts w:ascii="Calibri" w:hAnsi="Calibri"/>
                <w:color w:val="0070C0"/>
              </w:rPr>
              <w:t xml:space="preserve">Il a un rôle à jouer dans la plateforme nationale Multipartite </w:t>
            </w:r>
            <w:r w:rsidRPr="007E587B">
              <w:rPr>
                <w:rFonts w:ascii="Calibri" w:hAnsi="Calibri"/>
                <w:b w:val="0"/>
                <w:color w:val="0070C0"/>
              </w:rPr>
              <w:t xml:space="preserve">responsable de l'élaboration, de la mise en œuvre et du suivi de la Stratégie de Financement de la Santé et du Dossier d’Investissement. Il peut </w:t>
            </w:r>
            <w:r w:rsidRPr="007E587B">
              <w:rPr>
                <w:rFonts w:ascii="Calibri" w:hAnsi="Calibri"/>
                <w:color w:val="0070C0"/>
                <w:u w:val="single"/>
              </w:rPr>
              <w:t>aider à la définition des interventions prioritaires en matière de nutrition tout en faisant le lien avec les besoins des communautés les plus touchées au niveau local</w:t>
            </w:r>
            <w:r w:rsidRPr="007E587B">
              <w:rPr>
                <w:rFonts w:ascii="Calibri" w:hAnsi="Calibri"/>
                <w:b w:val="0"/>
                <w:color w:val="0070C0"/>
              </w:rPr>
              <w:t xml:space="preserve">. </w:t>
            </w:r>
            <w:r w:rsidRPr="007E587B">
              <w:rPr>
                <w:rFonts w:asciiTheme="minorHAnsi" w:hAnsiTheme="minorHAnsi"/>
                <w:b w:val="0"/>
                <w:color w:val="0070C0"/>
              </w:rPr>
              <w:t xml:space="preserve">L’assistance technique que fournira le RESONUT permettra de s’assurer que le Dossier d‘Investissement soit alignée avec le Plan Stratégique Multisectoriel pour la Nutrition et le </w:t>
            </w:r>
            <w:r w:rsidRPr="007E587B">
              <w:rPr>
                <w:rFonts w:asciiTheme="minorHAnsi" w:hAnsiTheme="minorHAnsi" w:cs="Arial"/>
                <w:b w:val="0"/>
                <w:color w:val="0070C0"/>
                <w:shd w:val="clear" w:color="auto" w:fill="FFFFFF"/>
              </w:rPr>
              <w:t xml:space="preserve">Plan national de développement économique et social (PNDES). </w:t>
            </w:r>
          </w:p>
        </w:tc>
      </w:tr>
    </w:tbl>
    <w:p w:rsidR="007E587B" w:rsidRPr="007E587B" w:rsidRDefault="007E587B" w:rsidP="007E587B"/>
    <w:p w:rsidR="000A493F" w:rsidRPr="000A493F" w:rsidRDefault="000A493F" w:rsidP="000A493F"/>
    <w:p w:rsidR="00C47D3C" w:rsidRDefault="00C47D3C" w:rsidP="007C5DF5">
      <w:pPr>
        <w:spacing w:after="0" w:line="240" w:lineRule="auto"/>
        <w:jc w:val="both"/>
      </w:pPr>
    </w:p>
    <w:p w:rsidR="00BA2970" w:rsidRDefault="00BA2970"/>
    <w:sectPr w:rsidR="00BA2970" w:rsidSect="00496DB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8E" w:rsidRDefault="00B6588E" w:rsidP="00C47D3C">
      <w:pPr>
        <w:spacing w:after="0" w:line="240" w:lineRule="auto"/>
      </w:pPr>
      <w:r>
        <w:separator/>
      </w:r>
    </w:p>
  </w:endnote>
  <w:endnote w:type="continuationSeparator" w:id="0">
    <w:p w:rsidR="00B6588E" w:rsidRDefault="00B6588E" w:rsidP="00C47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MS PMinch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8E" w:rsidRDefault="00B6588E" w:rsidP="00C47D3C">
      <w:pPr>
        <w:spacing w:after="0" w:line="240" w:lineRule="auto"/>
      </w:pPr>
      <w:r>
        <w:separator/>
      </w:r>
    </w:p>
  </w:footnote>
  <w:footnote w:type="continuationSeparator" w:id="0">
    <w:p w:rsidR="00B6588E" w:rsidRDefault="00B6588E" w:rsidP="00C47D3C">
      <w:pPr>
        <w:spacing w:after="0" w:line="240" w:lineRule="auto"/>
      </w:pPr>
      <w:r>
        <w:continuationSeparator/>
      </w:r>
    </w:p>
  </w:footnote>
  <w:footnote w:id="1">
    <w:p w:rsidR="00306361" w:rsidRPr="00306361" w:rsidRDefault="00306361" w:rsidP="00306361">
      <w:pPr>
        <w:spacing w:after="0" w:line="240" w:lineRule="auto"/>
        <w:jc w:val="both"/>
        <w:rPr>
          <w:sz w:val="18"/>
          <w:szCs w:val="18"/>
        </w:rPr>
      </w:pPr>
      <w:r w:rsidRPr="00306361">
        <w:rPr>
          <w:rStyle w:val="Appelnotedebasdep"/>
          <w:sz w:val="18"/>
          <w:szCs w:val="18"/>
        </w:rPr>
        <w:footnoteRef/>
      </w:r>
      <w:r w:rsidRPr="00306361">
        <w:rPr>
          <w:sz w:val="18"/>
          <w:szCs w:val="18"/>
        </w:rPr>
        <w:t xml:space="preserve"> Un suivi des engagements du Burkina Faso pour la nutrition, Une analyse budgétaire des allocations et dépenses du Gouvernement pour les interventions spécifiques et sensibles à la nutrition, en 2014 et 2015, Un suivi des dépenses des Partenaires Techniques et financiers pour les interventions spécifiques et sensibles à la nutrition, en 2014 et 2015, Une analyse des types d’ancrage multisectoriel et des mécanismes de redevabilité </w:t>
      </w:r>
    </w:p>
    <w:p w:rsidR="00306361" w:rsidRPr="00306361" w:rsidRDefault="00306361" w:rsidP="00306361">
      <w:pPr>
        <w:pStyle w:val="Notedebasdepag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s://micro.lilo.org/im.php?im=https%3A%2F%2Ftse3.mm.bing.net%2Fth%3Fid%3DOIP.g3-QzAiAbZduOJ8h0CuSawEsCo%26pid%3DApi" style="width:225pt;height:126pt;visibility:visible;mso-wrap-style:square" o:bullet="t">
        <v:imagedata r:id="rId1" o:title="im.php?im=https%3A%2F%2Ftse3.mm" cropbottom="32789f" cropleft="3040f" cropright="44110f"/>
      </v:shape>
    </w:pict>
  </w:numPicBullet>
  <w:abstractNum w:abstractNumId="0" w15:restartNumberingAfterBreak="0">
    <w:nsid w:val="099E3566"/>
    <w:multiLevelType w:val="hybridMultilevel"/>
    <w:tmpl w:val="57609366"/>
    <w:lvl w:ilvl="0" w:tplc="2B8E5D5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17729"/>
    <w:multiLevelType w:val="hybridMultilevel"/>
    <w:tmpl w:val="50F071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7A25F7"/>
    <w:multiLevelType w:val="hybridMultilevel"/>
    <w:tmpl w:val="6A48B168"/>
    <w:lvl w:ilvl="0" w:tplc="79623F38">
      <w:start w:val="1"/>
      <w:numFmt w:val="bullet"/>
      <w:lvlText w:val="-"/>
      <w:lvlJc w:val="left"/>
      <w:pPr>
        <w:tabs>
          <w:tab w:val="num" w:pos="720"/>
        </w:tabs>
        <w:ind w:left="720" w:hanging="360"/>
      </w:pPr>
      <w:rPr>
        <w:rFonts w:ascii="Times New Roman" w:hAnsi="Times New Roman" w:hint="default"/>
      </w:rPr>
    </w:lvl>
    <w:lvl w:ilvl="1" w:tplc="B5A2BFD6" w:tentative="1">
      <w:start w:val="1"/>
      <w:numFmt w:val="bullet"/>
      <w:lvlText w:val="-"/>
      <w:lvlJc w:val="left"/>
      <w:pPr>
        <w:tabs>
          <w:tab w:val="num" w:pos="1440"/>
        </w:tabs>
        <w:ind w:left="1440" w:hanging="360"/>
      </w:pPr>
      <w:rPr>
        <w:rFonts w:ascii="Times New Roman" w:hAnsi="Times New Roman" w:hint="default"/>
      </w:rPr>
    </w:lvl>
    <w:lvl w:ilvl="2" w:tplc="F45026CA" w:tentative="1">
      <w:start w:val="1"/>
      <w:numFmt w:val="bullet"/>
      <w:lvlText w:val="-"/>
      <w:lvlJc w:val="left"/>
      <w:pPr>
        <w:tabs>
          <w:tab w:val="num" w:pos="2160"/>
        </w:tabs>
        <w:ind w:left="2160" w:hanging="360"/>
      </w:pPr>
      <w:rPr>
        <w:rFonts w:ascii="Times New Roman" w:hAnsi="Times New Roman" w:hint="default"/>
      </w:rPr>
    </w:lvl>
    <w:lvl w:ilvl="3" w:tplc="91561EC2" w:tentative="1">
      <w:start w:val="1"/>
      <w:numFmt w:val="bullet"/>
      <w:lvlText w:val="-"/>
      <w:lvlJc w:val="left"/>
      <w:pPr>
        <w:tabs>
          <w:tab w:val="num" w:pos="2880"/>
        </w:tabs>
        <w:ind w:left="2880" w:hanging="360"/>
      </w:pPr>
      <w:rPr>
        <w:rFonts w:ascii="Times New Roman" w:hAnsi="Times New Roman" w:hint="default"/>
      </w:rPr>
    </w:lvl>
    <w:lvl w:ilvl="4" w:tplc="600E7EA6" w:tentative="1">
      <w:start w:val="1"/>
      <w:numFmt w:val="bullet"/>
      <w:lvlText w:val="-"/>
      <w:lvlJc w:val="left"/>
      <w:pPr>
        <w:tabs>
          <w:tab w:val="num" w:pos="3600"/>
        </w:tabs>
        <w:ind w:left="3600" w:hanging="360"/>
      </w:pPr>
      <w:rPr>
        <w:rFonts w:ascii="Times New Roman" w:hAnsi="Times New Roman" w:hint="default"/>
      </w:rPr>
    </w:lvl>
    <w:lvl w:ilvl="5" w:tplc="1D628F84" w:tentative="1">
      <w:start w:val="1"/>
      <w:numFmt w:val="bullet"/>
      <w:lvlText w:val="-"/>
      <w:lvlJc w:val="left"/>
      <w:pPr>
        <w:tabs>
          <w:tab w:val="num" w:pos="4320"/>
        </w:tabs>
        <w:ind w:left="4320" w:hanging="360"/>
      </w:pPr>
      <w:rPr>
        <w:rFonts w:ascii="Times New Roman" w:hAnsi="Times New Roman" w:hint="default"/>
      </w:rPr>
    </w:lvl>
    <w:lvl w:ilvl="6" w:tplc="529C7C9E" w:tentative="1">
      <w:start w:val="1"/>
      <w:numFmt w:val="bullet"/>
      <w:lvlText w:val="-"/>
      <w:lvlJc w:val="left"/>
      <w:pPr>
        <w:tabs>
          <w:tab w:val="num" w:pos="5040"/>
        </w:tabs>
        <w:ind w:left="5040" w:hanging="360"/>
      </w:pPr>
      <w:rPr>
        <w:rFonts w:ascii="Times New Roman" w:hAnsi="Times New Roman" w:hint="default"/>
      </w:rPr>
    </w:lvl>
    <w:lvl w:ilvl="7" w:tplc="27BA7C2C" w:tentative="1">
      <w:start w:val="1"/>
      <w:numFmt w:val="bullet"/>
      <w:lvlText w:val="-"/>
      <w:lvlJc w:val="left"/>
      <w:pPr>
        <w:tabs>
          <w:tab w:val="num" w:pos="5760"/>
        </w:tabs>
        <w:ind w:left="5760" w:hanging="360"/>
      </w:pPr>
      <w:rPr>
        <w:rFonts w:ascii="Times New Roman" w:hAnsi="Times New Roman" w:hint="default"/>
      </w:rPr>
    </w:lvl>
    <w:lvl w:ilvl="8" w:tplc="3CBEBB6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5668D2"/>
    <w:multiLevelType w:val="hybridMultilevel"/>
    <w:tmpl w:val="156C2E0A"/>
    <w:lvl w:ilvl="0" w:tplc="AAFAE65C">
      <w:start w:val="1"/>
      <w:numFmt w:val="bullet"/>
      <w:lvlText w:val=""/>
      <w:lvlPicBulletId w:val="0"/>
      <w:lvlJc w:val="left"/>
      <w:pPr>
        <w:tabs>
          <w:tab w:val="num" w:pos="720"/>
        </w:tabs>
        <w:ind w:left="720" w:hanging="360"/>
      </w:pPr>
      <w:rPr>
        <w:rFonts w:ascii="Symbol" w:hAnsi="Symbol" w:hint="default"/>
      </w:rPr>
    </w:lvl>
    <w:lvl w:ilvl="1" w:tplc="D9C4DDDA" w:tentative="1">
      <w:start w:val="1"/>
      <w:numFmt w:val="bullet"/>
      <w:lvlText w:val=""/>
      <w:lvlJc w:val="left"/>
      <w:pPr>
        <w:tabs>
          <w:tab w:val="num" w:pos="1440"/>
        </w:tabs>
        <w:ind w:left="1440" w:hanging="360"/>
      </w:pPr>
      <w:rPr>
        <w:rFonts w:ascii="Symbol" w:hAnsi="Symbol" w:hint="default"/>
      </w:rPr>
    </w:lvl>
    <w:lvl w:ilvl="2" w:tplc="B2807482" w:tentative="1">
      <w:start w:val="1"/>
      <w:numFmt w:val="bullet"/>
      <w:lvlText w:val=""/>
      <w:lvlJc w:val="left"/>
      <w:pPr>
        <w:tabs>
          <w:tab w:val="num" w:pos="2160"/>
        </w:tabs>
        <w:ind w:left="2160" w:hanging="360"/>
      </w:pPr>
      <w:rPr>
        <w:rFonts w:ascii="Symbol" w:hAnsi="Symbol" w:hint="default"/>
      </w:rPr>
    </w:lvl>
    <w:lvl w:ilvl="3" w:tplc="2748826E" w:tentative="1">
      <w:start w:val="1"/>
      <w:numFmt w:val="bullet"/>
      <w:lvlText w:val=""/>
      <w:lvlJc w:val="left"/>
      <w:pPr>
        <w:tabs>
          <w:tab w:val="num" w:pos="2880"/>
        </w:tabs>
        <w:ind w:left="2880" w:hanging="360"/>
      </w:pPr>
      <w:rPr>
        <w:rFonts w:ascii="Symbol" w:hAnsi="Symbol" w:hint="default"/>
      </w:rPr>
    </w:lvl>
    <w:lvl w:ilvl="4" w:tplc="2C32D7B8" w:tentative="1">
      <w:start w:val="1"/>
      <w:numFmt w:val="bullet"/>
      <w:lvlText w:val=""/>
      <w:lvlJc w:val="left"/>
      <w:pPr>
        <w:tabs>
          <w:tab w:val="num" w:pos="3600"/>
        </w:tabs>
        <w:ind w:left="3600" w:hanging="360"/>
      </w:pPr>
      <w:rPr>
        <w:rFonts w:ascii="Symbol" w:hAnsi="Symbol" w:hint="default"/>
      </w:rPr>
    </w:lvl>
    <w:lvl w:ilvl="5" w:tplc="62E20CA2" w:tentative="1">
      <w:start w:val="1"/>
      <w:numFmt w:val="bullet"/>
      <w:lvlText w:val=""/>
      <w:lvlJc w:val="left"/>
      <w:pPr>
        <w:tabs>
          <w:tab w:val="num" w:pos="4320"/>
        </w:tabs>
        <w:ind w:left="4320" w:hanging="360"/>
      </w:pPr>
      <w:rPr>
        <w:rFonts w:ascii="Symbol" w:hAnsi="Symbol" w:hint="default"/>
      </w:rPr>
    </w:lvl>
    <w:lvl w:ilvl="6" w:tplc="1D5CAC78" w:tentative="1">
      <w:start w:val="1"/>
      <w:numFmt w:val="bullet"/>
      <w:lvlText w:val=""/>
      <w:lvlJc w:val="left"/>
      <w:pPr>
        <w:tabs>
          <w:tab w:val="num" w:pos="5040"/>
        </w:tabs>
        <w:ind w:left="5040" w:hanging="360"/>
      </w:pPr>
      <w:rPr>
        <w:rFonts w:ascii="Symbol" w:hAnsi="Symbol" w:hint="default"/>
      </w:rPr>
    </w:lvl>
    <w:lvl w:ilvl="7" w:tplc="032C15D8" w:tentative="1">
      <w:start w:val="1"/>
      <w:numFmt w:val="bullet"/>
      <w:lvlText w:val=""/>
      <w:lvlJc w:val="left"/>
      <w:pPr>
        <w:tabs>
          <w:tab w:val="num" w:pos="5760"/>
        </w:tabs>
        <w:ind w:left="5760" w:hanging="360"/>
      </w:pPr>
      <w:rPr>
        <w:rFonts w:ascii="Symbol" w:hAnsi="Symbol" w:hint="default"/>
      </w:rPr>
    </w:lvl>
    <w:lvl w:ilvl="8" w:tplc="4AC286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DE64EE"/>
    <w:multiLevelType w:val="hybridMultilevel"/>
    <w:tmpl w:val="15ACBCB8"/>
    <w:lvl w:ilvl="0" w:tplc="72A81CCC">
      <w:start w:val="1"/>
      <w:numFmt w:val="bullet"/>
      <w:pStyle w:val="Titr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90796"/>
    <w:multiLevelType w:val="hybridMultilevel"/>
    <w:tmpl w:val="95183CE8"/>
    <w:lvl w:ilvl="0" w:tplc="1728C17E">
      <w:start w:val="1"/>
      <w:numFmt w:val="bullet"/>
      <w:lvlText w:val=""/>
      <w:lvlJc w:val="left"/>
      <w:pPr>
        <w:ind w:left="360" w:hanging="360"/>
      </w:pPr>
      <w:rPr>
        <w:rFonts w:ascii="Wingdings" w:hAnsi="Wingdings" w:hint="default"/>
        <w:color w:val="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CBF52B7"/>
    <w:multiLevelType w:val="hybridMultilevel"/>
    <w:tmpl w:val="FC2EFD56"/>
    <w:lvl w:ilvl="0" w:tplc="2B8E5D5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1324B3"/>
    <w:multiLevelType w:val="hybridMultilevel"/>
    <w:tmpl w:val="4D5E8138"/>
    <w:lvl w:ilvl="0" w:tplc="9AE0345C">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A1657B"/>
    <w:multiLevelType w:val="hybridMultilevel"/>
    <w:tmpl w:val="C55AB21A"/>
    <w:lvl w:ilvl="0" w:tplc="2B8E5D58">
      <w:start w:val="6"/>
      <w:numFmt w:val="bullet"/>
      <w:lvlText w:val="-"/>
      <w:lvlJc w:val="left"/>
      <w:pPr>
        <w:ind w:left="720" w:hanging="360"/>
      </w:pPr>
      <w:rPr>
        <w:rFonts w:ascii="Calibri" w:eastAsiaTheme="minorHAnsi" w:hAnsi="Calibri" w:cstheme="minorBidi" w:hint="default"/>
      </w:rPr>
    </w:lvl>
    <w:lvl w:ilvl="1" w:tplc="2B8E5D58">
      <w:start w:val="6"/>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567259"/>
    <w:multiLevelType w:val="hybridMultilevel"/>
    <w:tmpl w:val="B6F2FDF4"/>
    <w:lvl w:ilvl="0" w:tplc="2B8E5D58">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680EAB"/>
    <w:multiLevelType w:val="hybridMultilevel"/>
    <w:tmpl w:val="071C3EB2"/>
    <w:lvl w:ilvl="0" w:tplc="9AE0345C">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994537"/>
    <w:multiLevelType w:val="hybridMultilevel"/>
    <w:tmpl w:val="FD22CB7E"/>
    <w:lvl w:ilvl="0" w:tplc="9AE0345C">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057A63"/>
    <w:multiLevelType w:val="hybridMultilevel"/>
    <w:tmpl w:val="D61C8BE2"/>
    <w:lvl w:ilvl="0" w:tplc="9AE0345C">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FE7383"/>
    <w:multiLevelType w:val="hybridMultilevel"/>
    <w:tmpl w:val="674C3A6E"/>
    <w:lvl w:ilvl="0" w:tplc="0AD02FF6">
      <w:start w:val="1"/>
      <w:numFmt w:val="bullet"/>
      <w:lvlText w:val=""/>
      <w:lvlPicBulletId w:val="0"/>
      <w:lvlJc w:val="left"/>
      <w:pPr>
        <w:tabs>
          <w:tab w:val="num" w:pos="720"/>
        </w:tabs>
        <w:ind w:left="720" w:hanging="360"/>
      </w:pPr>
      <w:rPr>
        <w:rFonts w:ascii="Symbol" w:hAnsi="Symbol" w:hint="default"/>
      </w:rPr>
    </w:lvl>
    <w:lvl w:ilvl="1" w:tplc="7CFC2DC8" w:tentative="1">
      <w:start w:val="1"/>
      <w:numFmt w:val="bullet"/>
      <w:lvlText w:val=""/>
      <w:lvlJc w:val="left"/>
      <w:pPr>
        <w:tabs>
          <w:tab w:val="num" w:pos="1440"/>
        </w:tabs>
        <w:ind w:left="1440" w:hanging="360"/>
      </w:pPr>
      <w:rPr>
        <w:rFonts w:ascii="Symbol" w:hAnsi="Symbol" w:hint="default"/>
      </w:rPr>
    </w:lvl>
    <w:lvl w:ilvl="2" w:tplc="CDC8227A" w:tentative="1">
      <w:start w:val="1"/>
      <w:numFmt w:val="bullet"/>
      <w:lvlText w:val=""/>
      <w:lvlJc w:val="left"/>
      <w:pPr>
        <w:tabs>
          <w:tab w:val="num" w:pos="2160"/>
        </w:tabs>
        <w:ind w:left="2160" w:hanging="360"/>
      </w:pPr>
      <w:rPr>
        <w:rFonts w:ascii="Symbol" w:hAnsi="Symbol" w:hint="default"/>
      </w:rPr>
    </w:lvl>
    <w:lvl w:ilvl="3" w:tplc="F5A8EBF8" w:tentative="1">
      <w:start w:val="1"/>
      <w:numFmt w:val="bullet"/>
      <w:lvlText w:val=""/>
      <w:lvlJc w:val="left"/>
      <w:pPr>
        <w:tabs>
          <w:tab w:val="num" w:pos="2880"/>
        </w:tabs>
        <w:ind w:left="2880" w:hanging="360"/>
      </w:pPr>
      <w:rPr>
        <w:rFonts w:ascii="Symbol" w:hAnsi="Symbol" w:hint="default"/>
      </w:rPr>
    </w:lvl>
    <w:lvl w:ilvl="4" w:tplc="1FAC9112" w:tentative="1">
      <w:start w:val="1"/>
      <w:numFmt w:val="bullet"/>
      <w:lvlText w:val=""/>
      <w:lvlJc w:val="left"/>
      <w:pPr>
        <w:tabs>
          <w:tab w:val="num" w:pos="3600"/>
        </w:tabs>
        <w:ind w:left="3600" w:hanging="360"/>
      </w:pPr>
      <w:rPr>
        <w:rFonts w:ascii="Symbol" w:hAnsi="Symbol" w:hint="default"/>
      </w:rPr>
    </w:lvl>
    <w:lvl w:ilvl="5" w:tplc="05F26DF2" w:tentative="1">
      <w:start w:val="1"/>
      <w:numFmt w:val="bullet"/>
      <w:lvlText w:val=""/>
      <w:lvlJc w:val="left"/>
      <w:pPr>
        <w:tabs>
          <w:tab w:val="num" w:pos="4320"/>
        </w:tabs>
        <w:ind w:left="4320" w:hanging="360"/>
      </w:pPr>
      <w:rPr>
        <w:rFonts w:ascii="Symbol" w:hAnsi="Symbol" w:hint="default"/>
      </w:rPr>
    </w:lvl>
    <w:lvl w:ilvl="6" w:tplc="4E0A3A88" w:tentative="1">
      <w:start w:val="1"/>
      <w:numFmt w:val="bullet"/>
      <w:lvlText w:val=""/>
      <w:lvlJc w:val="left"/>
      <w:pPr>
        <w:tabs>
          <w:tab w:val="num" w:pos="5040"/>
        </w:tabs>
        <w:ind w:left="5040" w:hanging="360"/>
      </w:pPr>
      <w:rPr>
        <w:rFonts w:ascii="Symbol" w:hAnsi="Symbol" w:hint="default"/>
      </w:rPr>
    </w:lvl>
    <w:lvl w:ilvl="7" w:tplc="D9DC715A" w:tentative="1">
      <w:start w:val="1"/>
      <w:numFmt w:val="bullet"/>
      <w:lvlText w:val=""/>
      <w:lvlJc w:val="left"/>
      <w:pPr>
        <w:tabs>
          <w:tab w:val="num" w:pos="5760"/>
        </w:tabs>
        <w:ind w:left="5760" w:hanging="360"/>
      </w:pPr>
      <w:rPr>
        <w:rFonts w:ascii="Symbol" w:hAnsi="Symbol" w:hint="default"/>
      </w:rPr>
    </w:lvl>
    <w:lvl w:ilvl="8" w:tplc="F52E7E1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95D3D2F"/>
    <w:multiLevelType w:val="hybridMultilevel"/>
    <w:tmpl w:val="FC90B660"/>
    <w:lvl w:ilvl="0" w:tplc="678E475C">
      <w:start w:val="2017"/>
      <w:numFmt w:val="bullet"/>
      <w:lvlText w:val="-"/>
      <w:lvlJc w:val="left"/>
      <w:pPr>
        <w:ind w:left="720" w:hanging="360"/>
      </w:pPr>
      <w:rPr>
        <w:rFonts w:ascii="Calibri" w:eastAsiaTheme="majorEastAsia"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9514BD"/>
    <w:multiLevelType w:val="hybridMultilevel"/>
    <w:tmpl w:val="B5F03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D06089"/>
    <w:multiLevelType w:val="hybridMultilevel"/>
    <w:tmpl w:val="56987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421DF6"/>
    <w:multiLevelType w:val="hybridMultilevel"/>
    <w:tmpl w:val="4762F422"/>
    <w:lvl w:ilvl="0" w:tplc="9AE0345C">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4"/>
  </w:num>
  <w:num w:numId="6">
    <w:abstractNumId w:val="14"/>
  </w:num>
  <w:num w:numId="7">
    <w:abstractNumId w:val="15"/>
  </w:num>
  <w:num w:numId="8">
    <w:abstractNumId w:val="1"/>
  </w:num>
  <w:num w:numId="9">
    <w:abstractNumId w:val="5"/>
  </w:num>
  <w:num w:numId="10">
    <w:abstractNumId w:val="10"/>
  </w:num>
  <w:num w:numId="11">
    <w:abstractNumId w:val="13"/>
  </w:num>
  <w:num w:numId="12">
    <w:abstractNumId w:val="3"/>
  </w:num>
  <w:num w:numId="13">
    <w:abstractNumId w:val="16"/>
  </w:num>
  <w:num w:numId="14">
    <w:abstractNumId w:val="11"/>
  </w:num>
  <w:num w:numId="15">
    <w:abstractNumId w:val="7"/>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3C"/>
    <w:rsid w:val="000A493F"/>
    <w:rsid w:val="00140477"/>
    <w:rsid w:val="001C5250"/>
    <w:rsid w:val="001F2064"/>
    <w:rsid w:val="00273359"/>
    <w:rsid w:val="00306361"/>
    <w:rsid w:val="003C1F09"/>
    <w:rsid w:val="003D0EDF"/>
    <w:rsid w:val="0052546B"/>
    <w:rsid w:val="006B1026"/>
    <w:rsid w:val="006F5216"/>
    <w:rsid w:val="007C5DF5"/>
    <w:rsid w:val="007E587B"/>
    <w:rsid w:val="008656BD"/>
    <w:rsid w:val="00A936D7"/>
    <w:rsid w:val="00B6588E"/>
    <w:rsid w:val="00BA2970"/>
    <w:rsid w:val="00BB1036"/>
    <w:rsid w:val="00C47D3C"/>
    <w:rsid w:val="00E67379"/>
    <w:rsid w:val="00E95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026A2-293F-4B8F-9694-5E5468CC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3C"/>
    <w:pPr>
      <w:spacing w:after="200" w:line="276" w:lineRule="auto"/>
    </w:pPr>
  </w:style>
  <w:style w:type="paragraph" w:styleId="Titre1">
    <w:name w:val="heading 1"/>
    <w:basedOn w:val="Normal"/>
    <w:next w:val="Normal"/>
    <w:link w:val="Titre1Car"/>
    <w:autoRedefine/>
    <w:uiPriority w:val="9"/>
    <w:qFormat/>
    <w:rsid w:val="00C47D3C"/>
    <w:pPr>
      <w:keepNext/>
      <w:keepLines/>
      <w:shd w:val="clear" w:color="auto" w:fill="70AD47" w:themeFill="accent6"/>
      <w:spacing w:before="480" w:after="0"/>
      <w:outlineLvl w:val="0"/>
    </w:pPr>
    <w:rPr>
      <w:rFonts w:ascii="Arial" w:eastAsiaTheme="majorEastAsia" w:hAnsi="Arial" w:cstheme="majorBidi"/>
      <w:b/>
      <w:caps/>
      <w:color w:val="FFFFFF" w:themeColor="background1"/>
      <w:sz w:val="28"/>
      <w:szCs w:val="28"/>
    </w:rPr>
  </w:style>
  <w:style w:type="paragraph" w:styleId="Titre2">
    <w:name w:val="heading 2"/>
    <w:basedOn w:val="Titre3"/>
    <w:next w:val="Normal"/>
    <w:link w:val="Titre2Car"/>
    <w:uiPriority w:val="9"/>
    <w:unhideWhenUsed/>
    <w:qFormat/>
    <w:rsid w:val="00C47D3C"/>
    <w:pPr>
      <w:numPr>
        <w:numId w:val="5"/>
      </w:numPr>
      <w:spacing w:before="0" w:line="240" w:lineRule="auto"/>
      <w:jc w:val="both"/>
      <w:outlineLvl w:val="1"/>
    </w:pPr>
    <w:rPr>
      <w:rFonts w:asciiTheme="minorHAnsi" w:hAnsiTheme="minorHAnsi"/>
      <w:sz w:val="24"/>
      <w:u w:val="single"/>
    </w:rPr>
  </w:style>
  <w:style w:type="paragraph" w:styleId="Titre3">
    <w:name w:val="heading 3"/>
    <w:basedOn w:val="Normal"/>
    <w:next w:val="Normal"/>
    <w:link w:val="Titre3Car"/>
    <w:uiPriority w:val="9"/>
    <w:unhideWhenUsed/>
    <w:qFormat/>
    <w:rsid w:val="00C47D3C"/>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unhideWhenUsed/>
    <w:qFormat/>
    <w:rsid w:val="00C47D3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D3C"/>
    <w:rPr>
      <w:rFonts w:ascii="Arial" w:eastAsiaTheme="majorEastAsia" w:hAnsi="Arial" w:cstheme="majorBidi"/>
      <w:b/>
      <w:caps/>
      <w:color w:val="FFFFFF" w:themeColor="background1"/>
      <w:sz w:val="28"/>
      <w:szCs w:val="28"/>
      <w:shd w:val="clear" w:color="auto" w:fill="70AD47" w:themeFill="accent6"/>
    </w:rPr>
  </w:style>
  <w:style w:type="character" w:customStyle="1" w:styleId="Titre2Car">
    <w:name w:val="Titre 2 Car"/>
    <w:basedOn w:val="Policepardfaut"/>
    <w:link w:val="Titre2"/>
    <w:uiPriority w:val="9"/>
    <w:rsid w:val="00C47D3C"/>
    <w:rPr>
      <w:rFonts w:eastAsiaTheme="majorEastAsia" w:cstheme="majorBidi"/>
      <w:b/>
      <w:bCs/>
      <w:color w:val="5B9BD5" w:themeColor="accent1"/>
      <w:sz w:val="24"/>
      <w:u w:val="single"/>
    </w:rPr>
  </w:style>
  <w:style w:type="character" w:customStyle="1" w:styleId="Titre3Car">
    <w:name w:val="Titre 3 Car"/>
    <w:basedOn w:val="Policepardfaut"/>
    <w:link w:val="Titre3"/>
    <w:uiPriority w:val="9"/>
    <w:rsid w:val="00C47D3C"/>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rsid w:val="00C47D3C"/>
    <w:rPr>
      <w:rFonts w:asciiTheme="majorHAnsi" w:eastAsiaTheme="majorEastAsia" w:hAnsiTheme="majorHAnsi" w:cstheme="majorBidi"/>
      <w:b/>
      <w:bCs/>
      <w:i/>
      <w:iCs/>
      <w:color w:val="5B9BD5" w:themeColor="accent1"/>
    </w:rPr>
  </w:style>
  <w:style w:type="paragraph" w:styleId="Paragraphedeliste">
    <w:name w:val="List Paragraph"/>
    <w:aliases w:val="References,List Paragraph (numbered (a)),Bullets,Liste 1,List Paragraph1,Numbered List Paragraph,List Bullet Mary,Medium Grid 1 - Accent 21,ReferencesCxSpLast,List Paragraph nowy,MCHIP_list paragraph,Recommendation,Bullet List"/>
    <w:basedOn w:val="Normal"/>
    <w:link w:val="ParagraphedelisteCar"/>
    <w:uiPriority w:val="34"/>
    <w:qFormat/>
    <w:rsid w:val="00C47D3C"/>
    <w:pPr>
      <w:ind w:left="720"/>
      <w:contextualSpacing/>
    </w:pPr>
  </w:style>
  <w:style w:type="paragraph" w:styleId="Notedebasdepage">
    <w:name w:val="footnote text"/>
    <w:basedOn w:val="Normal"/>
    <w:link w:val="NotedebasdepageCar"/>
    <w:uiPriority w:val="99"/>
    <w:unhideWhenUsed/>
    <w:rsid w:val="00C47D3C"/>
    <w:pPr>
      <w:spacing w:after="0" w:line="240" w:lineRule="auto"/>
    </w:pPr>
    <w:rPr>
      <w:sz w:val="20"/>
      <w:szCs w:val="20"/>
    </w:rPr>
  </w:style>
  <w:style w:type="character" w:customStyle="1" w:styleId="NotedebasdepageCar">
    <w:name w:val="Note de bas de page Car"/>
    <w:basedOn w:val="Policepardfaut"/>
    <w:link w:val="Notedebasdepage"/>
    <w:uiPriority w:val="99"/>
    <w:rsid w:val="00C47D3C"/>
    <w:rPr>
      <w:sz w:val="20"/>
      <w:szCs w:val="20"/>
    </w:rPr>
  </w:style>
  <w:style w:type="character" w:styleId="Appelnotedebasdep">
    <w:name w:val="footnote reference"/>
    <w:aliases w:val="16 Point,Superscript 6 Point"/>
    <w:basedOn w:val="Policepardfaut"/>
    <w:uiPriority w:val="99"/>
    <w:unhideWhenUsed/>
    <w:rsid w:val="00C47D3C"/>
    <w:rPr>
      <w:vertAlign w:val="superscript"/>
    </w:rPr>
  </w:style>
  <w:style w:type="character" w:styleId="Lienhypertexte">
    <w:name w:val="Hyperlink"/>
    <w:basedOn w:val="Policepardfaut"/>
    <w:uiPriority w:val="99"/>
    <w:unhideWhenUsed/>
    <w:rsid w:val="00C47D3C"/>
    <w:rPr>
      <w:color w:val="0000FF"/>
      <w:u w:val="single"/>
    </w:rPr>
  </w:style>
  <w:style w:type="character" w:customStyle="1" w:styleId="ParagraphedelisteCar">
    <w:name w:val="Paragraphe de liste Car"/>
    <w:aliases w:val="References Car,List Paragraph (numbered (a)) Car,Bullets Car,Liste 1 Car,List Paragraph1 Car,Numbered List Paragraph Car,List Bullet Mary Car,Medium Grid 1 - Accent 21 Car,ReferencesCxSpLast Car,List Paragraph nowy Car"/>
    <w:basedOn w:val="Policepardfaut"/>
    <w:link w:val="Paragraphedeliste"/>
    <w:uiPriority w:val="34"/>
    <w:locked/>
    <w:rsid w:val="00C47D3C"/>
  </w:style>
  <w:style w:type="paragraph" w:styleId="NormalWeb">
    <w:name w:val="Normal (Web)"/>
    <w:basedOn w:val="Normal"/>
    <w:uiPriority w:val="99"/>
    <w:unhideWhenUsed/>
    <w:rsid w:val="00C47D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BB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BB1036"/>
    <w:rPr>
      <w:rFonts w:ascii="Courier New" w:eastAsia="Times New Roman" w:hAnsi="Courier New" w:cs="Courier New"/>
      <w:sz w:val="20"/>
      <w:szCs w:val="20"/>
      <w:lang w:val="en-US"/>
    </w:rPr>
  </w:style>
  <w:style w:type="table" w:styleId="Grilledutableau">
    <w:name w:val="Table Grid"/>
    <w:basedOn w:val="TableauNormal"/>
    <w:uiPriority w:val="39"/>
    <w:rsid w:val="00A9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40477"/>
    <w:rPr>
      <w:sz w:val="16"/>
      <w:szCs w:val="16"/>
    </w:rPr>
  </w:style>
  <w:style w:type="paragraph" w:styleId="Commentaire">
    <w:name w:val="annotation text"/>
    <w:basedOn w:val="Normal"/>
    <w:link w:val="CommentaireCar"/>
    <w:uiPriority w:val="99"/>
    <w:semiHidden/>
    <w:unhideWhenUsed/>
    <w:rsid w:val="00140477"/>
    <w:pPr>
      <w:spacing w:line="240" w:lineRule="auto"/>
    </w:pPr>
    <w:rPr>
      <w:sz w:val="20"/>
      <w:szCs w:val="20"/>
    </w:rPr>
  </w:style>
  <w:style w:type="character" w:customStyle="1" w:styleId="CommentaireCar">
    <w:name w:val="Commentaire Car"/>
    <w:basedOn w:val="Policepardfaut"/>
    <w:link w:val="Commentaire"/>
    <w:uiPriority w:val="99"/>
    <w:semiHidden/>
    <w:rsid w:val="00140477"/>
    <w:rPr>
      <w:sz w:val="20"/>
      <w:szCs w:val="20"/>
    </w:rPr>
  </w:style>
  <w:style w:type="paragraph" w:styleId="Objetducommentaire">
    <w:name w:val="annotation subject"/>
    <w:basedOn w:val="Commentaire"/>
    <w:next w:val="Commentaire"/>
    <w:link w:val="ObjetducommentaireCar"/>
    <w:uiPriority w:val="99"/>
    <w:semiHidden/>
    <w:unhideWhenUsed/>
    <w:rsid w:val="00140477"/>
    <w:rPr>
      <w:b/>
      <w:bCs/>
    </w:rPr>
  </w:style>
  <w:style w:type="character" w:customStyle="1" w:styleId="ObjetducommentaireCar">
    <w:name w:val="Objet du commentaire Car"/>
    <w:basedOn w:val="CommentaireCar"/>
    <w:link w:val="Objetducommentaire"/>
    <w:uiPriority w:val="99"/>
    <w:semiHidden/>
    <w:rsid w:val="00140477"/>
    <w:rPr>
      <w:b/>
      <w:bCs/>
      <w:sz w:val="20"/>
      <w:szCs w:val="20"/>
    </w:rPr>
  </w:style>
  <w:style w:type="paragraph" w:styleId="Textedebulles">
    <w:name w:val="Balloon Text"/>
    <w:basedOn w:val="Normal"/>
    <w:link w:val="TextedebullesCar"/>
    <w:uiPriority w:val="99"/>
    <w:semiHidden/>
    <w:unhideWhenUsed/>
    <w:rsid w:val="001404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0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lobalfinancingfacility.org/sites/gff_new/files/documents/GFF-CreativeBrief_Nutrition_FR_Final_We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ingupnutrition.org/fr/news/le-burkina-faso-valide-son-plan-strategique-multisectoriel-de-nutrition-2016-2020-avec-lengagement-de-lensemble-des-secteurs-cles-et-parties-prena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oncontrelafaim.org/publication/emerging-financing-mechanisms-where-is-the-value-for-nutri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lobalfinancingfacility.org/sites/gff_new/files/documents/GFF-CreativeBrief_Nutrition_FR_Final_Web.pdf" TargetMode="External"/><Relationship Id="rId4" Type="http://schemas.openxmlformats.org/officeDocument/2006/relationships/settings" Target="settings.xml"/><Relationship Id="rId9" Type="http://schemas.openxmlformats.org/officeDocument/2006/relationships/hyperlink" Target="https://www.globalfinancingfacility.org/fr" TargetMode="External"/><Relationship Id="rId14" Type="http://schemas.openxmlformats.org/officeDocument/2006/relationships/hyperlink" Target="https://www.globalfinancingfacility.org/sites/gff_new/files/documents/GFF-CreativeBrief_CSO_FR.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5B06-0002-4C82-B68B-DC05E9C2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5751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Gary</dc:creator>
  <cp:keywords/>
  <dc:description/>
  <cp:lastModifiedBy>Jean sebastien Kouassi  </cp:lastModifiedBy>
  <cp:revision>2</cp:revision>
  <dcterms:created xsi:type="dcterms:W3CDTF">2018-06-13T11:04:00Z</dcterms:created>
  <dcterms:modified xsi:type="dcterms:W3CDTF">2018-06-13T11:04:00Z</dcterms:modified>
</cp:coreProperties>
</file>