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A41768" w14:textId="77777777" w:rsidR="00614071" w:rsidRPr="00C37D11" w:rsidRDefault="002F2EED" w:rsidP="007346EB">
      <w:pPr>
        <w:spacing w:after="0" w:line="240" w:lineRule="auto"/>
        <w:jc w:val="center"/>
        <w:rPr>
          <w:rFonts w:ascii="Arial" w:hAnsi="Arial" w:cs="Arial"/>
        </w:rPr>
      </w:pPr>
      <w:bookmarkStart w:id="0" w:name="_GoBack"/>
      <w:bookmarkEnd w:id="0"/>
      <w:r w:rsidRPr="00C37D11">
        <w:rPr>
          <w:rFonts w:ascii="Arial" w:hAnsi="Arial" w:cs="Arial"/>
          <w:noProof/>
        </w:rPr>
        <w:drawing>
          <wp:anchor distT="0" distB="0" distL="114300" distR="114300" simplePos="0" relativeHeight="251661312" behindDoc="1" locked="0" layoutInCell="1" allowOverlap="1" wp14:anchorId="1891565D" wp14:editId="1AAADF2A">
            <wp:simplePos x="0" y="0"/>
            <wp:positionH relativeFrom="column">
              <wp:posOffset>-9525</wp:posOffset>
            </wp:positionH>
            <wp:positionV relativeFrom="paragraph">
              <wp:posOffset>2540</wp:posOffset>
            </wp:positionV>
            <wp:extent cx="3134360" cy="597535"/>
            <wp:effectExtent l="0" t="0" r="8890" b="0"/>
            <wp:wrapTight wrapText="bothSides">
              <wp:wrapPolygon edited="0">
                <wp:start x="1050" y="0"/>
                <wp:lineTo x="0" y="4132"/>
                <wp:lineTo x="0" y="17216"/>
                <wp:lineTo x="1050" y="20659"/>
                <wp:lineTo x="2757" y="20659"/>
                <wp:lineTo x="21530" y="17904"/>
                <wp:lineTo x="21530" y="1377"/>
                <wp:lineTo x="2888" y="0"/>
                <wp:lineTo x="1050" y="0"/>
              </wp:wrapPolygon>
            </wp:wrapTight>
            <wp:docPr id="1" name="image02.png" descr="C:\Profiles\sshaw\AppData\Local\Microsoft\Windows\Temporary Internet Files\Content.Outlook\UZQPDD97\image0011.png"/>
            <wp:cNvGraphicFramePr/>
            <a:graphic xmlns:a="http://schemas.openxmlformats.org/drawingml/2006/main">
              <a:graphicData uri="http://schemas.openxmlformats.org/drawingml/2006/picture">
                <pic:pic xmlns:pic="http://schemas.openxmlformats.org/drawingml/2006/picture">
                  <pic:nvPicPr>
                    <pic:cNvPr id="0" name="image02.png" descr="C:\Profiles\sshaw\AppData\Local\Microsoft\Windows\Temporary Internet Files\Content.Outlook\UZQPDD97\image001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134360" cy="597535"/>
                    </a:xfrm>
                    <a:prstGeom prst="rect">
                      <a:avLst/>
                    </a:prstGeom>
                    <a:ln/>
                  </pic:spPr>
                </pic:pic>
              </a:graphicData>
            </a:graphic>
            <wp14:sizeRelH relativeFrom="page">
              <wp14:pctWidth>0</wp14:pctWidth>
            </wp14:sizeRelH>
            <wp14:sizeRelV relativeFrom="page">
              <wp14:pctHeight>0</wp14:pctHeight>
            </wp14:sizeRelV>
          </wp:anchor>
        </w:drawing>
      </w:r>
      <w:r w:rsidR="004D433E" w:rsidRPr="00C37D11">
        <w:rPr>
          <w:rFonts w:ascii="Arial" w:eastAsia="Arial" w:hAnsi="Arial" w:cs="Arial"/>
          <w:b/>
          <w:sz w:val="20"/>
        </w:rPr>
        <w:tab/>
      </w:r>
      <w:r w:rsidR="004D433E" w:rsidRPr="00C37D11">
        <w:rPr>
          <w:rFonts w:ascii="Arial" w:eastAsia="Arial" w:hAnsi="Arial" w:cs="Arial"/>
          <w:b/>
          <w:sz w:val="20"/>
        </w:rPr>
        <w:br/>
      </w:r>
    </w:p>
    <w:p w14:paraId="4122DB68" w14:textId="77777777" w:rsidR="00614071" w:rsidRPr="00C37D11" w:rsidRDefault="00614071" w:rsidP="007346EB">
      <w:pPr>
        <w:spacing w:after="0" w:line="240" w:lineRule="auto"/>
        <w:rPr>
          <w:rFonts w:ascii="Arial" w:hAnsi="Arial" w:cs="Arial"/>
        </w:rPr>
      </w:pPr>
    </w:p>
    <w:p w14:paraId="7147EA76" w14:textId="77777777" w:rsidR="002F2EED" w:rsidRPr="00C37D11" w:rsidRDefault="002F2EED" w:rsidP="007346EB">
      <w:pPr>
        <w:spacing w:after="0" w:line="240" w:lineRule="auto"/>
        <w:jc w:val="right"/>
        <w:rPr>
          <w:rFonts w:ascii="Arial" w:eastAsia="Arial" w:hAnsi="Arial" w:cs="Arial"/>
          <w:sz w:val="24"/>
        </w:rPr>
      </w:pPr>
    </w:p>
    <w:p w14:paraId="6EFAAE38" w14:textId="77777777" w:rsidR="002F2EED" w:rsidRPr="00C37D11" w:rsidRDefault="002F2EED" w:rsidP="007346EB">
      <w:pPr>
        <w:spacing w:after="0" w:line="240" w:lineRule="auto"/>
        <w:jc w:val="right"/>
        <w:rPr>
          <w:rFonts w:ascii="Arial" w:eastAsia="Arial" w:hAnsi="Arial" w:cs="Arial"/>
          <w:sz w:val="24"/>
        </w:rPr>
      </w:pPr>
    </w:p>
    <w:p w14:paraId="21FA9634" w14:textId="77777777" w:rsidR="003005D1" w:rsidRPr="00C37D11" w:rsidRDefault="003005D1" w:rsidP="007346EB">
      <w:pPr>
        <w:spacing w:after="0" w:line="240" w:lineRule="auto"/>
        <w:jc w:val="right"/>
        <w:rPr>
          <w:rFonts w:ascii="Arial" w:eastAsia="Arial" w:hAnsi="Arial" w:cs="Arial"/>
          <w:smallCaps/>
          <w:color w:val="7F7F7F" w:themeColor="background1"/>
          <w:szCs w:val="22"/>
        </w:rPr>
      </w:pPr>
    </w:p>
    <w:p w14:paraId="2561061C" w14:textId="60AE1A62" w:rsidR="003005D1" w:rsidRPr="00C37D11" w:rsidRDefault="002F6901" w:rsidP="007346EB">
      <w:pPr>
        <w:spacing w:after="0" w:line="240" w:lineRule="auto"/>
        <w:jc w:val="right"/>
        <w:rPr>
          <w:rFonts w:ascii="Arial" w:hAnsi="Arial" w:cs="Arial"/>
          <w:smallCaps/>
          <w:color w:val="7F7F7F" w:themeColor="background1"/>
          <w:szCs w:val="22"/>
        </w:rPr>
      </w:pPr>
      <w:r>
        <w:rPr>
          <w:rFonts w:ascii="Arial" w:eastAsia="Arial" w:hAnsi="Arial" w:cs="Arial"/>
          <w:smallCaps/>
          <w:color w:val="7F7F7F" w:themeColor="background1"/>
          <w:szCs w:val="22"/>
        </w:rPr>
        <w:t>August</w:t>
      </w:r>
      <w:r w:rsidR="00033C91">
        <w:rPr>
          <w:rFonts w:ascii="Arial" w:eastAsia="Arial" w:hAnsi="Arial" w:cs="Arial"/>
          <w:smallCaps/>
          <w:color w:val="7F7F7F" w:themeColor="background1"/>
          <w:szCs w:val="22"/>
        </w:rPr>
        <w:t xml:space="preserve"> </w:t>
      </w:r>
      <w:r w:rsidR="004D433E" w:rsidRPr="00C37D11">
        <w:rPr>
          <w:rFonts w:ascii="Arial" w:eastAsia="Arial" w:hAnsi="Arial" w:cs="Arial"/>
          <w:smallCaps/>
          <w:color w:val="7F7F7F" w:themeColor="background1"/>
          <w:szCs w:val="22"/>
        </w:rPr>
        <w:t xml:space="preserve"> 2015</w:t>
      </w:r>
    </w:p>
    <w:p w14:paraId="1279876A" w14:textId="77777777" w:rsidR="00614071" w:rsidRPr="008B29D8" w:rsidRDefault="004D433E" w:rsidP="007346EB">
      <w:pPr>
        <w:spacing w:after="0" w:line="240" w:lineRule="auto"/>
        <w:rPr>
          <w:rFonts w:ascii="Arial" w:hAnsi="Arial" w:cs="Arial"/>
          <w:color w:val="auto"/>
          <w:sz w:val="48"/>
          <w:szCs w:val="48"/>
        </w:rPr>
      </w:pPr>
      <w:r w:rsidRPr="00C37D11">
        <w:rPr>
          <w:rFonts w:ascii="Arial" w:eastAsia="Arial" w:hAnsi="Arial" w:cs="Arial"/>
          <w:color w:val="auto"/>
          <w:sz w:val="48"/>
          <w:szCs w:val="48"/>
        </w:rPr>
        <w:t xml:space="preserve">Briefing on Global Financing Facility (GFF) </w:t>
      </w:r>
    </w:p>
    <w:p w14:paraId="2F2EAA89" w14:textId="77777777" w:rsidR="00B41A97" w:rsidRDefault="00B41A97" w:rsidP="007346EB">
      <w:pPr>
        <w:spacing w:after="0" w:line="240" w:lineRule="auto"/>
        <w:jc w:val="both"/>
        <w:rPr>
          <w:rFonts w:ascii="Arial" w:eastAsia="Arial" w:hAnsi="Arial" w:cs="Arial"/>
          <w:b/>
          <w:sz w:val="24"/>
          <w:szCs w:val="24"/>
        </w:rPr>
      </w:pPr>
    </w:p>
    <w:p w14:paraId="7712D75C" w14:textId="77777777" w:rsidR="00866649" w:rsidRDefault="00B41A97" w:rsidP="00866649">
      <w:pPr>
        <w:spacing w:after="0" w:line="240" w:lineRule="auto"/>
        <w:jc w:val="both"/>
        <w:rPr>
          <w:rFonts w:ascii="Arial" w:eastAsia="Arial" w:hAnsi="Arial" w:cs="Arial"/>
          <w:b/>
          <w:sz w:val="24"/>
          <w:szCs w:val="24"/>
        </w:rPr>
      </w:pPr>
      <w:r>
        <w:rPr>
          <w:rFonts w:ascii="Arial" w:eastAsia="Arial" w:hAnsi="Arial" w:cs="Arial"/>
          <w:b/>
          <w:sz w:val="24"/>
          <w:szCs w:val="24"/>
        </w:rPr>
        <w:t>Overview of the GFF</w:t>
      </w:r>
    </w:p>
    <w:p w14:paraId="78B334B3" w14:textId="7AC007DA" w:rsidR="00E813E9" w:rsidRPr="00866649" w:rsidRDefault="004D433E" w:rsidP="00866649">
      <w:pPr>
        <w:pStyle w:val="ListParagraph"/>
        <w:numPr>
          <w:ilvl w:val="0"/>
          <w:numId w:val="36"/>
        </w:numPr>
        <w:spacing w:after="0" w:line="240" w:lineRule="auto"/>
        <w:jc w:val="both"/>
        <w:rPr>
          <w:rFonts w:ascii="Arial" w:eastAsia="Arial" w:hAnsi="Arial" w:cs="Arial"/>
          <w:b/>
          <w:sz w:val="24"/>
          <w:szCs w:val="24"/>
        </w:rPr>
      </w:pPr>
      <w:r w:rsidRPr="00866649">
        <w:rPr>
          <w:rFonts w:ascii="Arial" w:eastAsia="Arial" w:hAnsi="Arial" w:cs="Arial"/>
          <w:szCs w:val="22"/>
        </w:rPr>
        <w:t xml:space="preserve">In September 2014, the </w:t>
      </w:r>
      <w:r w:rsidR="00C53508" w:rsidRPr="00866649">
        <w:rPr>
          <w:rFonts w:ascii="Arial" w:eastAsia="Arial" w:hAnsi="Arial" w:cs="Arial"/>
          <w:szCs w:val="22"/>
        </w:rPr>
        <w:t>W</w:t>
      </w:r>
      <w:r w:rsidR="00B458CF">
        <w:rPr>
          <w:rFonts w:ascii="Arial" w:eastAsia="Arial" w:hAnsi="Arial" w:cs="Arial"/>
          <w:szCs w:val="22"/>
        </w:rPr>
        <w:t xml:space="preserve">orld </w:t>
      </w:r>
      <w:r w:rsidR="00C53508" w:rsidRPr="00866649">
        <w:rPr>
          <w:rFonts w:ascii="Arial" w:eastAsia="Arial" w:hAnsi="Arial" w:cs="Arial"/>
          <w:szCs w:val="22"/>
        </w:rPr>
        <w:t>B</w:t>
      </w:r>
      <w:r w:rsidR="00B458CF">
        <w:rPr>
          <w:rFonts w:ascii="Arial" w:eastAsia="Arial" w:hAnsi="Arial" w:cs="Arial"/>
          <w:szCs w:val="22"/>
        </w:rPr>
        <w:t xml:space="preserve">ank </w:t>
      </w:r>
      <w:r w:rsidR="00C53508" w:rsidRPr="00866649">
        <w:rPr>
          <w:rFonts w:ascii="Arial" w:eastAsia="Arial" w:hAnsi="Arial" w:cs="Arial"/>
          <w:szCs w:val="22"/>
        </w:rPr>
        <w:t>G</w:t>
      </w:r>
      <w:r w:rsidR="00B458CF">
        <w:rPr>
          <w:rFonts w:ascii="Arial" w:eastAsia="Arial" w:hAnsi="Arial" w:cs="Arial"/>
          <w:szCs w:val="22"/>
        </w:rPr>
        <w:t>roup (WBG)</w:t>
      </w:r>
      <w:r w:rsidRPr="00866649">
        <w:rPr>
          <w:rFonts w:ascii="Arial" w:eastAsia="Arial" w:hAnsi="Arial" w:cs="Arial"/>
          <w:szCs w:val="22"/>
        </w:rPr>
        <w:t xml:space="preserve"> and Governments of Canada, Norway, and the United States announced the creation of the Global Financing Facility (GFF) in sup</w:t>
      </w:r>
      <w:r w:rsidR="00712B95" w:rsidRPr="00866649">
        <w:rPr>
          <w:rFonts w:ascii="Arial" w:eastAsia="Arial" w:hAnsi="Arial" w:cs="Arial"/>
          <w:szCs w:val="22"/>
        </w:rPr>
        <w:t xml:space="preserve">port of Every Woman Every Child, </w:t>
      </w:r>
      <w:r w:rsidR="00CE4F76" w:rsidRPr="00866649">
        <w:rPr>
          <w:rFonts w:ascii="Arial" w:eastAsia="Arial" w:hAnsi="Arial" w:cs="Arial"/>
          <w:szCs w:val="22"/>
        </w:rPr>
        <w:t xml:space="preserve">which </w:t>
      </w:r>
      <w:r w:rsidR="00712B95" w:rsidRPr="00866649">
        <w:rPr>
          <w:rFonts w:ascii="Arial" w:hAnsi="Arial" w:cs="Arial"/>
          <w:szCs w:val="22"/>
        </w:rPr>
        <w:t>aims to support the Global Strategy for Women’s, Chil</w:t>
      </w:r>
      <w:r w:rsidR="00CE4F76" w:rsidRPr="00866649">
        <w:rPr>
          <w:rFonts w:ascii="Arial" w:hAnsi="Arial" w:cs="Arial"/>
          <w:szCs w:val="22"/>
        </w:rPr>
        <w:t xml:space="preserve">dren’s, and Adolescent’s Health </w:t>
      </w:r>
      <w:r w:rsidR="00712B95" w:rsidRPr="00866649">
        <w:rPr>
          <w:rFonts w:ascii="Arial" w:hAnsi="Arial" w:cs="Arial"/>
          <w:szCs w:val="22"/>
        </w:rPr>
        <w:t>and the Sustainable Development Goals (SDGs).</w:t>
      </w:r>
      <w:r w:rsidRPr="00E40637">
        <w:rPr>
          <w:vertAlign w:val="superscript"/>
        </w:rPr>
        <w:footnoteReference w:id="1"/>
      </w:r>
      <w:r w:rsidR="00C53508" w:rsidRPr="00866649">
        <w:rPr>
          <w:rFonts w:ascii="Arial" w:eastAsia="Arial" w:hAnsi="Arial" w:cs="Arial"/>
          <w:szCs w:val="22"/>
        </w:rPr>
        <w:t xml:space="preserve"> </w:t>
      </w:r>
    </w:p>
    <w:p w14:paraId="53B75304" w14:textId="77777777" w:rsidR="00E813E9" w:rsidRDefault="00C53508" w:rsidP="00E813E9">
      <w:pPr>
        <w:pStyle w:val="ListParagraph"/>
        <w:numPr>
          <w:ilvl w:val="0"/>
          <w:numId w:val="36"/>
        </w:numPr>
        <w:spacing w:after="0" w:line="240" w:lineRule="auto"/>
        <w:jc w:val="both"/>
        <w:rPr>
          <w:rFonts w:ascii="Arial" w:eastAsia="Arial" w:hAnsi="Arial" w:cs="Arial"/>
          <w:szCs w:val="22"/>
        </w:rPr>
      </w:pPr>
      <w:r w:rsidRPr="00E813E9">
        <w:rPr>
          <w:rFonts w:ascii="Arial" w:eastAsia="Arial" w:hAnsi="Arial" w:cs="Arial"/>
          <w:szCs w:val="22"/>
        </w:rPr>
        <w:t xml:space="preserve">The overall goal of the GFF is to contribute to ending preventable maternal, newborn, child and adolescent deaths by 2030 and improving the health and quality of life of women, adolescents and children.  </w:t>
      </w:r>
    </w:p>
    <w:p w14:paraId="39833E08" w14:textId="77777777" w:rsidR="00E813E9" w:rsidRPr="00E813E9" w:rsidRDefault="00712B95" w:rsidP="00E813E9">
      <w:pPr>
        <w:pStyle w:val="ListParagraph"/>
        <w:numPr>
          <w:ilvl w:val="0"/>
          <w:numId w:val="36"/>
        </w:numPr>
        <w:spacing w:after="0" w:line="240" w:lineRule="auto"/>
        <w:jc w:val="both"/>
        <w:rPr>
          <w:rFonts w:ascii="Arial" w:eastAsia="Arial" w:hAnsi="Arial" w:cs="Arial"/>
          <w:szCs w:val="22"/>
        </w:rPr>
      </w:pPr>
      <w:r w:rsidRPr="00E813E9">
        <w:rPr>
          <w:rFonts w:ascii="Arial" w:hAnsi="Arial" w:cs="Arial"/>
          <w:szCs w:val="22"/>
        </w:rPr>
        <w:t xml:space="preserve">The </w:t>
      </w:r>
      <w:r w:rsidR="00694676" w:rsidRPr="00E813E9">
        <w:rPr>
          <w:rFonts w:ascii="Arial" w:hAnsi="Arial" w:cs="Arial"/>
          <w:szCs w:val="22"/>
        </w:rPr>
        <w:t xml:space="preserve">GFF aims to </w:t>
      </w:r>
      <w:r w:rsidRPr="00E813E9">
        <w:rPr>
          <w:rFonts w:ascii="Arial" w:hAnsi="Arial" w:cs="Arial"/>
          <w:szCs w:val="22"/>
        </w:rPr>
        <w:t>mobilize domestic funding (private and public), fu</w:t>
      </w:r>
      <w:r w:rsidR="00694676" w:rsidRPr="00E813E9">
        <w:rPr>
          <w:rFonts w:ascii="Arial" w:hAnsi="Arial" w:cs="Arial"/>
          <w:szCs w:val="22"/>
        </w:rPr>
        <w:t>nding from the GFF Trust Fund (</w:t>
      </w:r>
      <w:r w:rsidRPr="00E813E9">
        <w:rPr>
          <w:rFonts w:ascii="Arial" w:hAnsi="Arial" w:cs="Arial"/>
          <w:szCs w:val="22"/>
        </w:rPr>
        <w:t xml:space="preserve">which includes grants and loans) and donor resources </w:t>
      </w:r>
      <w:r w:rsidR="00694676" w:rsidRPr="00E813E9">
        <w:rPr>
          <w:rFonts w:ascii="Arial" w:hAnsi="Arial" w:cs="Arial"/>
          <w:szCs w:val="22"/>
        </w:rPr>
        <w:t>(such</w:t>
      </w:r>
      <w:r w:rsidRPr="00E813E9">
        <w:rPr>
          <w:rFonts w:ascii="Arial" w:hAnsi="Arial" w:cs="Arial"/>
          <w:szCs w:val="22"/>
        </w:rPr>
        <w:t xml:space="preserve"> as bilateral support)</w:t>
      </w:r>
      <w:r w:rsidR="00B41A97" w:rsidRPr="00E813E9">
        <w:rPr>
          <w:rFonts w:ascii="Arial" w:hAnsi="Arial" w:cs="Arial"/>
          <w:szCs w:val="22"/>
        </w:rPr>
        <w:t>.</w:t>
      </w:r>
    </w:p>
    <w:p w14:paraId="1C465B76" w14:textId="7A5191C5" w:rsidR="00E813E9" w:rsidRPr="00E813E9" w:rsidRDefault="004D433E" w:rsidP="008C091E">
      <w:pPr>
        <w:pStyle w:val="ListParagraph"/>
        <w:numPr>
          <w:ilvl w:val="0"/>
          <w:numId w:val="36"/>
        </w:numPr>
        <w:spacing w:after="0" w:line="240" w:lineRule="auto"/>
        <w:jc w:val="both"/>
        <w:rPr>
          <w:rFonts w:ascii="Arial" w:eastAsia="Arial" w:hAnsi="Arial" w:cs="Arial"/>
          <w:szCs w:val="22"/>
        </w:rPr>
      </w:pPr>
      <w:r w:rsidRPr="00E813E9">
        <w:rPr>
          <w:rFonts w:ascii="Arial" w:eastAsia="Arial" w:hAnsi="Arial" w:cs="Arial"/>
          <w:szCs w:val="22"/>
        </w:rPr>
        <w:t>T</w:t>
      </w:r>
      <w:r w:rsidR="00B97694" w:rsidRPr="00E813E9">
        <w:rPr>
          <w:rFonts w:ascii="Arial" w:eastAsia="Arial" w:hAnsi="Arial" w:cs="Arial"/>
          <w:szCs w:val="22"/>
        </w:rPr>
        <w:t xml:space="preserve">o date, donor commitments </w:t>
      </w:r>
      <w:r w:rsidRPr="00E813E9">
        <w:rPr>
          <w:rFonts w:ascii="Arial" w:eastAsia="Arial" w:hAnsi="Arial" w:cs="Arial"/>
          <w:szCs w:val="22"/>
        </w:rPr>
        <w:t>for the GFF include grants of US$600 million from Norway and US$200 million from Canada</w:t>
      </w:r>
      <w:r w:rsidR="008C091E">
        <w:rPr>
          <w:rFonts w:ascii="Arial" w:eastAsia="Arial" w:hAnsi="Arial" w:cs="Arial"/>
          <w:szCs w:val="22"/>
        </w:rPr>
        <w:t xml:space="preserve"> and </w:t>
      </w:r>
      <w:bookmarkStart w:id="1" w:name="h.gjdgxs" w:colFirst="0" w:colLast="0"/>
      <w:bookmarkEnd w:id="1"/>
      <w:r w:rsidR="008C091E">
        <w:rPr>
          <w:rFonts w:ascii="Arial" w:eastAsia="Arial" w:hAnsi="Arial" w:cs="Arial"/>
          <w:szCs w:val="22"/>
        </w:rPr>
        <w:t>commitments from t</w:t>
      </w:r>
      <w:r w:rsidR="008C091E" w:rsidRPr="008C091E">
        <w:rPr>
          <w:rFonts w:ascii="Arial" w:eastAsia="Arial" w:hAnsi="Arial" w:cs="Arial"/>
          <w:szCs w:val="22"/>
        </w:rPr>
        <w:t xml:space="preserve">he Bill &amp; Melinda Gates Foundation, Canada, Japan, and the United States </w:t>
      </w:r>
      <w:r w:rsidR="008C091E">
        <w:rPr>
          <w:rFonts w:ascii="Arial" w:eastAsia="Arial" w:hAnsi="Arial" w:cs="Arial"/>
          <w:szCs w:val="22"/>
        </w:rPr>
        <w:t>which total</w:t>
      </w:r>
      <w:r w:rsidR="008C091E" w:rsidRPr="008C091E">
        <w:rPr>
          <w:rFonts w:ascii="Arial" w:eastAsia="Arial" w:hAnsi="Arial" w:cs="Arial"/>
          <w:szCs w:val="22"/>
        </w:rPr>
        <w:t xml:space="preserve"> $214 million.</w:t>
      </w:r>
      <w:r w:rsidR="008C091E">
        <w:rPr>
          <w:rFonts w:ascii="Arial" w:eastAsia="Arial" w:hAnsi="Arial" w:cs="Arial"/>
          <w:szCs w:val="22"/>
        </w:rPr>
        <w:t xml:space="preserve"> It is expected that new donor commitments will be announced at the UN General Assembly in September 2015. </w:t>
      </w:r>
    </w:p>
    <w:p w14:paraId="4AAC027C" w14:textId="78C6B66E" w:rsidR="008C091E" w:rsidRDefault="004D433E" w:rsidP="008C091E">
      <w:pPr>
        <w:pStyle w:val="ListParagraph"/>
        <w:numPr>
          <w:ilvl w:val="0"/>
          <w:numId w:val="36"/>
        </w:numPr>
        <w:spacing w:after="0" w:line="240" w:lineRule="auto"/>
        <w:jc w:val="both"/>
        <w:rPr>
          <w:rFonts w:ascii="Arial" w:eastAsia="Arial" w:hAnsi="Arial" w:cs="Arial"/>
          <w:szCs w:val="22"/>
        </w:rPr>
      </w:pPr>
      <w:r w:rsidRPr="00E813E9">
        <w:rPr>
          <w:rFonts w:ascii="Arial" w:eastAsia="Arial" w:hAnsi="Arial" w:cs="Arial"/>
          <w:szCs w:val="22"/>
        </w:rPr>
        <w:t>The GFF w</w:t>
      </w:r>
      <w:r w:rsidR="008C091E">
        <w:rPr>
          <w:rFonts w:ascii="Arial" w:eastAsia="Arial" w:hAnsi="Arial" w:cs="Arial"/>
          <w:szCs w:val="22"/>
        </w:rPr>
        <w:t>as</w:t>
      </w:r>
      <w:r w:rsidRPr="00E813E9">
        <w:rPr>
          <w:rFonts w:ascii="Arial" w:eastAsia="Arial" w:hAnsi="Arial" w:cs="Arial"/>
          <w:szCs w:val="22"/>
        </w:rPr>
        <w:t xml:space="preserve"> </w:t>
      </w:r>
      <w:r w:rsidR="008C091E">
        <w:rPr>
          <w:rFonts w:ascii="Arial" w:eastAsia="Arial" w:hAnsi="Arial" w:cs="Arial"/>
          <w:szCs w:val="22"/>
        </w:rPr>
        <w:t>officially</w:t>
      </w:r>
      <w:r w:rsidRPr="00E813E9">
        <w:rPr>
          <w:rFonts w:ascii="Arial" w:eastAsia="Arial" w:hAnsi="Arial" w:cs="Arial"/>
          <w:szCs w:val="22"/>
        </w:rPr>
        <w:t xml:space="preserve"> launched at the </w:t>
      </w:r>
      <w:hyperlink r:id="rId12" w:history="1">
        <w:r w:rsidR="00F1056D" w:rsidRPr="00E813E9">
          <w:rPr>
            <w:rStyle w:val="Hyperlink"/>
            <w:rFonts w:ascii="Arial" w:eastAsia="Arial" w:hAnsi="Arial" w:cs="Arial"/>
            <w:szCs w:val="22"/>
          </w:rPr>
          <w:t>Financing for Development C</w:t>
        </w:r>
        <w:r w:rsidRPr="00E813E9">
          <w:rPr>
            <w:rStyle w:val="Hyperlink"/>
            <w:rFonts w:ascii="Arial" w:eastAsia="Arial" w:hAnsi="Arial" w:cs="Arial"/>
            <w:szCs w:val="22"/>
          </w:rPr>
          <w:t>onference</w:t>
        </w:r>
      </w:hyperlink>
      <w:r w:rsidRPr="00E813E9">
        <w:rPr>
          <w:rFonts w:ascii="Arial" w:eastAsia="Arial" w:hAnsi="Arial" w:cs="Arial"/>
          <w:szCs w:val="22"/>
        </w:rPr>
        <w:t xml:space="preserve"> in Addis Abba </w:t>
      </w:r>
      <w:r w:rsidR="007752D6" w:rsidRPr="00E813E9">
        <w:rPr>
          <w:rFonts w:ascii="Arial" w:eastAsia="Arial" w:hAnsi="Arial" w:cs="Arial"/>
          <w:szCs w:val="22"/>
        </w:rPr>
        <w:t xml:space="preserve">on 13- 16 </w:t>
      </w:r>
      <w:r w:rsidRPr="00E813E9">
        <w:rPr>
          <w:rFonts w:ascii="Arial" w:eastAsia="Arial" w:hAnsi="Arial" w:cs="Arial"/>
          <w:szCs w:val="22"/>
        </w:rPr>
        <w:t xml:space="preserve">July 2015.   </w:t>
      </w:r>
    </w:p>
    <w:p w14:paraId="01E04CE7" w14:textId="530D63C6" w:rsidR="008C091E" w:rsidRPr="008C091E" w:rsidRDefault="00313A92" w:rsidP="008C091E">
      <w:pPr>
        <w:pStyle w:val="ListParagraph"/>
        <w:numPr>
          <w:ilvl w:val="0"/>
          <w:numId w:val="36"/>
        </w:numPr>
        <w:spacing w:after="0" w:line="240" w:lineRule="auto"/>
        <w:jc w:val="both"/>
        <w:rPr>
          <w:rFonts w:ascii="Arial" w:eastAsia="Arial" w:hAnsi="Arial" w:cs="Arial"/>
          <w:szCs w:val="22"/>
        </w:rPr>
      </w:pPr>
      <w:r w:rsidRPr="008C091E">
        <w:rPr>
          <w:rFonts w:ascii="Arial" w:hAnsi="Arial" w:cs="Arial"/>
          <w:szCs w:val="22"/>
        </w:rPr>
        <w:t xml:space="preserve">The </w:t>
      </w:r>
      <w:hyperlink r:id="rId13" w:history="1">
        <w:r w:rsidRPr="008C091E">
          <w:rPr>
            <w:rStyle w:val="Hyperlink"/>
            <w:rFonts w:ascii="Arial" w:hAnsi="Arial" w:cs="Arial"/>
            <w:szCs w:val="22"/>
          </w:rPr>
          <w:t>GFF business plan</w:t>
        </w:r>
      </w:hyperlink>
      <w:r w:rsidRPr="008C091E">
        <w:rPr>
          <w:rFonts w:ascii="Arial" w:hAnsi="Arial" w:cs="Arial"/>
          <w:szCs w:val="22"/>
        </w:rPr>
        <w:t xml:space="preserve"> has now been agreed and the country level implementation is the next phase of priority. </w:t>
      </w:r>
      <w:r w:rsidR="008C091E" w:rsidRPr="008C091E">
        <w:rPr>
          <w:rFonts w:ascii="Arial" w:hAnsi="Arial" w:cs="Arial"/>
          <w:szCs w:val="22"/>
        </w:rPr>
        <w:t xml:space="preserve">The GFF has been </w:t>
      </w:r>
      <w:r w:rsidR="007F13A3" w:rsidRPr="008C091E">
        <w:rPr>
          <w:rFonts w:ascii="Arial" w:hAnsi="Arial" w:cs="Arial"/>
          <w:szCs w:val="22"/>
        </w:rPr>
        <w:t>focusing on four front runner countries where country investment cases for the GFF are being developed. The four front runner countries</w:t>
      </w:r>
      <w:r w:rsidR="00866649" w:rsidRPr="008C091E">
        <w:rPr>
          <w:rFonts w:ascii="Arial" w:hAnsi="Arial" w:cs="Arial"/>
          <w:szCs w:val="22"/>
        </w:rPr>
        <w:t xml:space="preserve"> for the GFF</w:t>
      </w:r>
      <w:r w:rsidR="007F13A3" w:rsidRPr="008C091E">
        <w:rPr>
          <w:rFonts w:ascii="Arial" w:hAnsi="Arial" w:cs="Arial"/>
          <w:szCs w:val="22"/>
        </w:rPr>
        <w:t xml:space="preserve"> are Ethiopia, Kenya, DCR and </w:t>
      </w:r>
      <w:r w:rsidR="008C091E" w:rsidRPr="008C091E">
        <w:rPr>
          <w:rFonts w:ascii="Arial" w:hAnsi="Arial" w:cs="Arial"/>
          <w:szCs w:val="22"/>
        </w:rPr>
        <w:t xml:space="preserve">Tanzania. </w:t>
      </w:r>
      <w:r w:rsidR="008C091E">
        <w:rPr>
          <w:rFonts w:ascii="Arial" w:hAnsi="Arial" w:cs="Arial"/>
          <w:szCs w:val="22"/>
        </w:rPr>
        <w:t>At the Financing for Development Conference in July 2015, t</w:t>
      </w:r>
      <w:r w:rsidR="008C091E" w:rsidRPr="008C091E">
        <w:rPr>
          <w:rFonts w:ascii="Arial" w:hAnsi="Arial" w:cs="Arial"/>
          <w:szCs w:val="22"/>
        </w:rPr>
        <w:t>he GFF partners announced the next group of eight countries— Bangladesh, Cameroon, India, Liberia, Mozambique, Nigeria, Senegal and Uganda—to benefit from GFF</w:t>
      </w:r>
      <w:r w:rsidR="008C091E">
        <w:rPr>
          <w:rFonts w:ascii="Arial" w:hAnsi="Arial" w:cs="Arial"/>
          <w:szCs w:val="22"/>
        </w:rPr>
        <w:t xml:space="preserve"> investment. </w:t>
      </w:r>
    </w:p>
    <w:p w14:paraId="747327D2" w14:textId="708AD329" w:rsidR="00506707" w:rsidRPr="007F13A3" w:rsidRDefault="00B41A97" w:rsidP="008C091E">
      <w:pPr>
        <w:pStyle w:val="ListParagraph"/>
        <w:spacing w:after="0" w:line="240" w:lineRule="auto"/>
        <w:ind w:left="360"/>
        <w:rPr>
          <w:rFonts w:ascii="Arial" w:eastAsia="Arial" w:hAnsi="Arial" w:cs="Arial"/>
          <w:szCs w:val="22"/>
        </w:rPr>
      </w:pPr>
      <w:r w:rsidRPr="007F13A3">
        <w:rPr>
          <w:rFonts w:ascii="Arial" w:eastAsia="Arial" w:hAnsi="Arial" w:cs="Arial"/>
          <w:szCs w:val="22"/>
        </w:rPr>
        <w:br/>
      </w:r>
    </w:p>
    <w:p w14:paraId="098DCC75" w14:textId="2707A985" w:rsidR="00E813E9" w:rsidRPr="00866649" w:rsidRDefault="00113AAF" w:rsidP="00E813E9">
      <w:pPr>
        <w:spacing w:line="240" w:lineRule="auto"/>
        <w:rPr>
          <w:rFonts w:ascii="Arial" w:eastAsia="Arial" w:hAnsi="Arial" w:cs="Arial"/>
          <w:b/>
          <w:color w:val="auto"/>
          <w:sz w:val="24"/>
          <w:szCs w:val="24"/>
        </w:rPr>
      </w:pPr>
      <w:r w:rsidRPr="00910EB0">
        <w:rPr>
          <w:rFonts w:ascii="Arial" w:eastAsia="Arial" w:hAnsi="Arial" w:cs="Arial"/>
          <w:b/>
          <w:color w:val="auto"/>
          <w:sz w:val="24"/>
          <w:szCs w:val="24"/>
        </w:rPr>
        <w:t>IPPF’s</w:t>
      </w:r>
      <w:r w:rsidR="0093370F" w:rsidRPr="00910EB0">
        <w:rPr>
          <w:rFonts w:ascii="Arial" w:eastAsia="Arial" w:hAnsi="Arial" w:cs="Arial"/>
          <w:b/>
          <w:color w:val="auto"/>
          <w:sz w:val="24"/>
          <w:szCs w:val="24"/>
        </w:rPr>
        <w:t xml:space="preserve"> key messages</w:t>
      </w:r>
      <w:r w:rsidR="00866649">
        <w:rPr>
          <w:rFonts w:ascii="Arial" w:eastAsia="Arial" w:hAnsi="Arial" w:cs="Arial"/>
          <w:b/>
          <w:color w:val="auto"/>
          <w:sz w:val="24"/>
          <w:szCs w:val="24"/>
        </w:rPr>
        <w:br/>
      </w:r>
      <w:r w:rsidR="00E86615">
        <w:rPr>
          <w:rFonts w:ascii="Arial" w:eastAsia="Arial" w:hAnsi="Arial" w:cs="Arial"/>
          <w:color w:val="auto"/>
          <w:szCs w:val="22"/>
        </w:rPr>
        <w:t>The</w:t>
      </w:r>
      <w:r w:rsidR="00F1056D">
        <w:rPr>
          <w:rFonts w:ascii="Arial" w:eastAsia="Arial" w:hAnsi="Arial" w:cs="Arial"/>
          <w:color w:val="auto"/>
          <w:szCs w:val="22"/>
        </w:rPr>
        <w:t>se</w:t>
      </w:r>
      <w:r w:rsidR="00237B30">
        <w:rPr>
          <w:rFonts w:ascii="Arial" w:eastAsia="Arial" w:hAnsi="Arial" w:cs="Arial"/>
          <w:color w:val="auto"/>
          <w:szCs w:val="22"/>
        </w:rPr>
        <w:t xml:space="preserve"> </w:t>
      </w:r>
      <w:r w:rsidR="00E86615">
        <w:rPr>
          <w:rFonts w:ascii="Arial" w:eastAsia="Arial" w:hAnsi="Arial" w:cs="Arial"/>
          <w:color w:val="auto"/>
          <w:szCs w:val="22"/>
        </w:rPr>
        <w:t xml:space="preserve">key </w:t>
      </w:r>
      <w:r w:rsidR="00237B30">
        <w:rPr>
          <w:rFonts w:ascii="Arial" w:eastAsia="Arial" w:hAnsi="Arial" w:cs="Arial"/>
          <w:color w:val="auto"/>
          <w:szCs w:val="22"/>
        </w:rPr>
        <w:t>messages</w:t>
      </w:r>
      <w:r w:rsidR="007346EB">
        <w:rPr>
          <w:rFonts w:ascii="Arial" w:eastAsia="Arial" w:hAnsi="Arial" w:cs="Arial"/>
          <w:color w:val="auto"/>
          <w:szCs w:val="22"/>
        </w:rPr>
        <w:t xml:space="preserve"> </w:t>
      </w:r>
      <w:r w:rsidR="00B41A97">
        <w:rPr>
          <w:rFonts w:ascii="Arial" w:eastAsia="Arial" w:hAnsi="Arial" w:cs="Arial"/>
          <w:color w:val="auto"/>
          <w:szCs w:val="22"/>
        </w:rPr>
        <w:t xml:space="preserve">and recommendations </w:t>
      </w:r>
      <w:r w:rsidR="00237B30">
        <w:rPr>
          <w:rFonts w:ascii="Arial" w:eastAsia="Arial" w:hAnsi="Arial" w:cs="Arial"/>
          <w:color w:val="auto"/>
          <w:szCs w:val="22"/>
        </w:rPr>
        <w:t>are intended</w:t>
      </w:r>
      <w:r w:rsidR="00993686">
        <w:rPr>
          <w:rFonts w:ascii="Arial" w:eastAsia="Arial" w:hAnsi="Arial" w:cs="Arial"/>
          <w:color w:val="auto"/>
          <w:szCs w:val="22"/>
        </w:rPr>
        <w:t xml:space="preserve"> </w:t>
      </w:r>
      <w:r w:rsidR="00237B30">
        <w:rPr>
          <w:rFonts w:ascii="Arial" w:eastAsia="Arial" w:hAnsi="Arial" w:cs="Arial"/>
          <w:color w:val="auto"/>
          <w:szCs w:val="22"/>
        </w:rPr>
        <w:t>for</w:t>
      </w:r>
      <w:r w:rsidR="00993686">
        <w:rPr>
          <w:rFonts w:ascii="Arial" w:eastAsia="Arial" w:hAnsi="Arial" w:cs="Arial"/>
          <w:color w:val="auto"/>
          <w:szCs w:val="22"/>
        </w:rPr>
        <w:t xml:space="preserve"> </w:t>
      </w:r>
      <w:r w:rsidR="00C22A45">
        <w:rPr>
          <w:rFonts w:ascii="Arial" w:eastAsia="Arial" w:hAnsi="Arial" w:cs="Arial"/>
          <w:color w:val="auto"/>
          <w:szCs w:val="22"/>
        </w:rPr>
        <w:t xml:space="preserve">advocates and </w:t>
      </w:r>
      <w:r w:rsidR="00993686">
        <w:rPr>
          <w:rFonts w:ascii="Arial" w:eastAsia="Arial" w:hAnsi="Arial" w:cs="Arial"/>
          <w:color w:val="auto"/>
          <w:szCs w:val="22"/>
        </w:rPr>
        <w:t xml:space="preserve">donor governments </w:t>
      </w:r>
      <w:r w:rsidR="00505A0B">
        <w:rPr>
          <w:rFonts w:ascii="Arial" w:eastAsia="Arial" w:hAnsi="Arial" w:cs="Arial"/>
          <w:color w:val="auto"/>
          <w:szCs w:val="22"/>
        </w:rPr>
        <w:t>to</w:t>
      </w:r>
      <w:r w:rsidR="00353DBE">
        <w:rPr>
          <w:rFonts w:ascii="Arial" w:eastAsia="Arial" w:hAnsi="Arial" w:cs="Arial"/>
          <w:color w:val="auto"/>
          <w:szCs w:val="22"/>
        </w:rPr>
        <w:t xml:space="preserve"> inform </w:t>
      </w:r>
      <w:r w:rsidR="00B41A97">
        <w:rPr>
          <w:rFonts w:ascii="Arial" w:eastAsia="Arial" w:hAnsi="Arial" w:cs="Arial"/>
          <w:color w:val="auto"/>
          <w:szCs w:val="22"/>
        </w:rPr>
        <w:t xml:space="preserve">their </w:t>
      </w:r>
      <w:r w:rsidR="00313A92">
        <w:rPr>
          <w:rFonts w:ascii="Arial" w:eastAsia="Arial" w:hAnsi="Arial" w:cs="Arial"/>
          <w:color w:val="auto"/>
          <w:szCs w:val="22"/>
        </w:rPr>
        <w:t>conversations on financing for sexual and reproductive health and rights (S</w:t>
      </w:r>
      <w:r w:rsidR="00353DBE">
        <w:rPr>
          <w:rFonts w:ascii="Arial" w:eastAsia="Arial" w:hAnsi="Arial" w:cs="Arial"/>
          <w:color w:val="auto"/>
          <w:szCs w:val="22"/>
        </w:rPr>
        <w:t>RHR</w:t>
      </w:r>
      <w:r w:rsidR="00313A92">
        <w:rPr>
          <w:rFonts w:ascii="Arial" w:eastAsia="Arial" w:hAnsi="Arial" w:cs="Arial"/>
          <w:color w:val="auto"/>
          <w:szCs w:val="22"/>
        </w:rPr>
        <w:t>)</w:t>
      </w:r>
      <w:r w:rsidR="00353DBE">
        <w:rPr>
          <w:rFonts w:ascii="Arial" w:eastAsia="Arial" w:hAnsi="Arial" w:cs="Arial"/>
          <w:color w:val="auto"/>
          <w:szCs w:val="22"/>
        </w:rPr>
        <w:t xml:space="preserve">, within the </w:t>
      </w:r>
      <w:r w:rsidR="00712B95">
        <w:rPr>
          <w:rFonts w:ascii="Arial" w:eastAsia="Arial" w:hAnsi="Arial" w:cs="Arial"/>
          <w:color w:val="auto"/>
          <w:szCs w:val="22"/>
        </w:rPr>
        <w:t xml:space="preserve">GFF and </w:t>
      </w:r>
      <w:r w:rsidR="00353DBE">
        <w:rPr>
          <w:rFonts w:ascii="Arial" w:eastAsia="Arial" w:hAnsi="Arial" w:cs="Arial"/>
          <w:color w:val="auto"/>
          <w:szCs w:val="22"/>
        </w:rPr>
        <w:t>FfD agenda</w:t>
      </w:r>
      <w:r w:rsidR="00712B95">
        <w:rPr>
          <w:rFonts w:ascii="Arial" w:eastAsia="Arial" w:hAnsi="Arial" w:cs="Arial"/>
          <w:color w:val="auto"/>
          <w:szCs w:val="22"/>
        </w:rPr>
        <w:t>s</w:t>
      </w:r>
      <w:r w:rsidR="00353DBE">
        <w:rPr>
          <w:rFonts w:ascii="Arial" w:eastAsia="Arial" w:hAnsi="Arial" w:cs="Arial"/>
          <w:color w:val="auto"/>
          <w:szCs w:val="22"/>
        </w:rPr>
        <w:t>.</w:t>
      </w:r>
      <w:r w:rsidR="00E813E9">
        <w:rPr>
          <w:rFonts w:ascii="Arial" w:eastAsia="Arial" w:hAnsi="Arial" w:cs="Arial"/>
          <w:color w:val="auto"/>
          <w:szCs w:val="22"/>
        </w:rPr>
        <w:t xml:space="preserve"> M</w:t>
      </w:r>
      <w:r w:rsidR="00E813E9" w:rsidRPr="00356152">
        <w:rPr>
          <w:rFonts w:ascii="Arial" w:hAnsi="Arial" w:cs="Arial"/>
          <w:szCs w:val="22"/>
        </w:rPr>
        <w:t xml:space="preserve">odalities of financing under the GFF must be rights-based and equitable, ensuring that additional funding is delivered to the full range of </w:t>
      </w:r>
      <w:r w:rsidR="00E813E9">
        <w:rPr>
          <w:rFonts w:ascii="Arial" w:hAnsi="Arial" w:cs="Arial"/>
          <w:szCs w:val="22"/>
        </w:rPr>
        <w:t xml:space="preserve">sexual and reproductive health </w:t>
      </w:r>
      <w:r w:rsidR="00E813E9" w:rsidRPr="00356152">
        <w:rPr>
          <w:rFonts w:ascii="Arial" w:hAnsi="Arial" w:cs="Arial"/>
          <w:szCs w:val="22"/>
        </w:rPr>
        <w:t xml:space="preserve">services and commodities. </w:t>
      </w:r>
      <w:r w:rsidR="0061583C">
        <w:rPr>
          <w:rFonts w:ascii="Arial" w:hAnsi="Arial" w:cs="Arial"/>
          <w:szCs w:val="22"/>
        </w:rPr>
        <w:t xml:space="preserve">There must be </w:t>
      </w:r>
      <w:r w:rsidR="0061583C" w:rsidRPr="0061583C">
        <w:rPr>
          <w:rFonts w:ascii="Arial" w:hAnsi="Arial" w:cs="Arial"/>
          <w:szCs w:val="22"/>
        </w:rPr>
        <w:t xml:space="preserve">commitment to respecting, protecting and promoting the right to health in both </w:t>
      </w:r>
      <w:r w:rsidR="0061583C">
        <w:rPr>
          <w:rFonts w:ascii="Arial" w:hAnsi="Arial" w:cs="Arial"/>
          <w:szCs w:val="22"/>
        </w:rPr>
        <w:t xml:space="preserve">GFF </w:t>
      </w:r>
      <w:r w:rsidR="0061583C" w:rsidRPr="0061583C">
        <w:rPr>
          <w:rFonts w:ascii="Arial" w:hAnsi="Arial" w:cs="Arial"/>
          <w:szCs w:val="22"/>
        </w:rPr>
        <w:t>governance and investment plans.</w:t>
      </w:r>
      <w:r w:rsidR="00866649">
        <w:rPr>
          <w:rFonts w:ascii="Arial" w:hAnsi="Arial" w:cs="Arial"/>
          <w:szCs w:val="22"/>
        </w:rPr>
        <w:t xml:space="preserve"> IPPF is concerned about</w:t>
      </w:r>
      <w:r w:rsidR="00866649" w:rsidRPr="00866649">
        <w:rPr>
          <w:rFonts w:ascii="Arial" w:hAnsi="Arial" w:cs="Arial"/>
          <w:szCs w:val="22"/>
        </w:rPr>
        <w:t xml:space="preserve"> how the GFF will increase overall funding availability for integrated R</w:t>
      </w:r>
      <w:r w:rsidR="00866649">
        <w:rPr>
          <w:rFonts w:ascii="Arial" w:hAnsi="Arial" w:cs="Arial"/>
          <w:szCs w:val="22"/>
        </w:rPr>
        <w:t xml:space="preserve">eproductive </w:t>
      </w:r>
      <w:r w:rsidR="00866649" w:rsidRPr="00866649">
        <w:rPr>
          <w:rFonts w:ascii="Arial" w:hAnsi="Arial" w:cs="Arial"/>
          <w:szCs w:val="22"/>
        </w:rPr>
        <w:t>M</w:t>
      </w:r>
      <w:r w:rsidR="00866649">
        <w:rPr>
          <w:rFonts w:ascii="Arial" w:hAnsi="Arial" w:cs="Arial"/>
          <w:szCs w:val="22"/>
        </w:rPr>
        <w:t xml:space="preserve">aternal </w:t>
      </w:r>
      <w:r w:rsidR="00866649" w:rsidRPr="00866649">
        <w:rPr>
          <w:rFonts w:ascii="Arial" w:hAnsi="Arial" w:cs="Arial"/>
          <w:szCs w:val="22"/>
        </w:rPr>
        <w:t>N</w:t>
      </w:r>
      <w:r w:rsidR="00866649">
        <w:rPr>
          <w:rFonts w:ascii="Arial" w:hAnsi="Arial" w:cs="Arial"/>
          <w:szCs w:val="22"/>
        </w:rPr>
        <w:t xml:space="preserve">ewborn </w:t>
      </w:r>
      <w:r w:rsidR="00866649" w:rsidRPr="00866649">
        <w:rPr>
          <w:rFonts w:ascii="Arial" w:hAnsi="Arial" w:cs="Arial"/>
          <w:szCs w:val="22"/>
        </w:rPr>
        <w:t>C</w:t>
      </w:r>
      <w:r w:rsidR="00866649">
        <w:rPr>
          <w:rFonts w:ascii="Arial" w:hAnsi="Arial" w:cs="Arial"/>
          <w:szCs w:val="22"/>
        </w:rPr>
        <w:t xml:space="preserve">hild </w:t>
      </w:r>
      <w:r w:rsidR="00866649" w:rsidRPr="00866649">
        <w:rPr>
          <w:rFonts w:ascii="Arial" w:hAnsi="Arial" w:cs="Arial"/>
          <w:szCs w:val="22"/>
        </w:rPr>
        <w:t>A</w:t>
      </w:r>
      <w:r w:rsidR="00866649">
        <w:rPr>
          <w:rFonts w:ascii="Arial" w:hAnsi="Arial" w:cs="Arial"/>
          <w:szCs w:val="22"/>
        </w:rPr>
        <w:t xml:space="preserve">dolescent </w:t>
      </w:r>
      <w:r w:rsidR="00866649" w:rsidRPr="00866649">
        <w:rPr>
          <w:rFonts w:ascii="Arial" w:hAnsi="Arial" w:cs="Arial"/>
          <w:szCs w:val="22"/>
        </w:rPr>
        <w:t>H</w:t>
      </w:r>
      <w:r w:rsidR="00866649">
        <w:rPr>
          <w:rFonts w:ascii="Arial" w:hAnsi="Arial" w:cs="Arial"/>
          <w:szCs w:val="22"/>
        </w:rPr>
        <w:t>ealth (RMNCAH)</w:t>
      </w:r>
      <w:r w:rsidR="00866649" w:rsidRPr="00866649">
        <w:rPr>
          <w:rFonts w:ascii="Arial" w:hAnsi="Arial" w:cs="Arial"/>
          <w:szCs w:val="22"/>
        </w:rPr>
        <w:t xml:space="preserve"> services at scale.</w:t>
      </w:r>
    </w:p>
    <w:p w14:paraId="713CD05E" w14:textId="13634B0A" w:rsidR="00E46E77" w:rsidRPr="00E813E9" w:rsidRDefault="003B1D03" w:rsidP="00E813E9">
      <w:pPr>
        <w:pStyle w:val="ListParagraph"/>
        <w:numPr>
          <w:ilvl w:val="0"/>
          <w:numId w:val="39"/>
        </w:numPr>
        <w:spacing w:line="240" w:lineRule="auto"/>
        <w:rPr>
          <w:rFonts w:ascii="Arial" w:eastAsia="Arial" w:hAnsi="Arial" w:cs="Arial"/>
          <w:szCs w:val="22"/>
        </w:rPr>
      </w:pPr>
      <w:r w:rsidRPr="00E813E9">
        <w:rPr>
          <w:rFonts w:ascii="Arial" w:hAnsi="Arial" w:cs="Arial"/>
          <w:b/>
          <w:szCs w:val="22"/>
        </w:rPr>
        <w:t xml:space="preserve">IPPF recognizes that additional </w:t>
      </w:r>
      <w:r w:rsidR="007E727B" w:rsidRPr="00E813E9">
        <w:rPr>
          <w:rFonts w:ascii="Arial" w:hAnsi="Arial" w:cs="Arial"/>
          <w:b/>
          <w:szCs w:val="22"/>
        </w:rPr>
        <w:t xml:space="preserve">international and domestic funding is needed for SRHR. </w:t>
      </w:r>
      <w:r w:rsidR="000462E8" w:rsidRPr="00E813E9">
        <w:rPr>
          <w:rFonts w:ascii="Arial" w:hAnsi="Arial" w:cs="Arial"/>
          <w:b/>
          <w:szCs w:val="22"/>
        </w:rPr>
        <w:t xml:space="preserve">However, IPPF is concerned about the </w:t>
      </w:r>
      <w:r w:rsidR="00E813E9">
        <w:rPr>
          <w:rFonts w:ascii="Arial" w:hAnsi="Arial" w:cs="Arial"/>
          <w:b/>
          <w:szCs w:val="22"/>
        </w:rPr>
        <w:t>emphasis to</w:t>
      </w:r>
      <w:r w:rsidR="00173F31" w:rsidRPr="00E813E9">
        <w:rPr>
          <w:rFonts w:ascii="Arial" w:hAnsi="Arial" w:cs="Arial"/>
          <w:b/>
          <w:szCs w:val="22"/>
        </w:rPr>
        <w:t xml:space="preserve"> increase domestic financing</w:t>
      </w:r>
      <w:r w:rsidR="00E813E9">
        <w:rPr>
          <w:rFonts w:ascii="Arial" w:hAnsi="Arial" w:cs="Arial"/>
          <w:b/>
          <w:szCs w:val="22"/>
        </w:rPr>
        <w:t xml:space="preserve"> through the</w:t>
      </w:r>
      <w:r w:rsidR="00173F31" w:rsidRPr="00E813E9">
        <w:rPr>
          <w:rFonts w:ascii="Arial" w:hAnsi="Arial" w:cs="Arial"/>
          <w:b/>
          <w:szCs w:val="22"/>
        </w:rPr>
        <w:t xml:space="preserve"> </w:t>
      </w:r>
      <w:r w:rsidR="000462E8" w:rsidRPr="00E813E9">
        <w:rPr>
          <w:rFonts w:ascii="Arial" w:hAnsi="Arial" w:cs="Arial"/>
          <w:b/>
          <w:szCs w:val="22"/>
        </w:rPr>
        <w:t xml:space="preserve">GFF </w:t>
      </w:r>
      <w:r w:rsidR="0080226D" w:rsidRPr="00E813E9">
        <w:rPr>
          <w:rFonts w:ascii="Arial" w:hAnsi="Arial" w:cs="Arial"/>
          <w:b/>
          <w:szCs w:val="22"/>
        </w:rPr>
        <w:t>Trust Fund</w:t>
      </w:r>
      <w:r w:rsidR="00D021B3" w:rsidRPr="00E813E9">
        <w:rPr>
          <w:rFonts w:ascii="Arial" w:hAnsi="Arial" w:cs="Arial"/>
          <w:b/>
          <w:szCs w:val="22"/>
        </w:rPr>
        <w:t>,</w:t>
      </w:r>
      <w:r w:rsidR="0080226D" w:rsidRPr="00E813E9">
        <w:rPr>
          <w:rFonts w:ascii="Arial" w:hAnsi="Arial" w:cs="Arial"/>
          <w:b/>
          <w:szCs w:val="22"/>
        </w:rPr>
        <w:t xml:space="preserve"> </w:t>
      </w:r>
      <w:r w:rsidR="00173F31" w:rsidRPr="00E813E9">
        <w:rPr>
          <w:rFonts w:ascii="Arial" w:hAnsi="Arial" w:cs="Arial"/>
          <w:b/>
          <w:szCs w:val="22"/>
        </w:rPr>
        <w:t>which</w:t>
      </w:r>
      <w:r w:rsidR="000462E8" w:rsidRPr="00E813E9">
        <w:rPr>
          <w:rFonts w:ascii="Arial" w:hAnsi="Arial" w:cs="Arial"/>
          <w:b/>
          <w:szCs w:val="22"/>
        </w:rPr>
        <w:t xml:space="preserve"> explicitly link</w:t>
      </w:r>
      <w:r w:rsidR="00173F31" w:rsidRPr="00E813E9">
        <w:rPr>
          <w:rFonts w:ascii="Arial" w:hAnsi="Arial" w:cs="Arial"/>
          <w:b/>
          <w:szCs w:val="22"/>
        </w:rPr>
        <w:t>s</w:t>
      </w:r>
      <w:r w:rsidR="000462E8" w:rsidRPr="00E813E9">
        <w:rPr>
          <w:rFonts w:ascii="Arial" w:hAnsi="Arial" w:cs="Arial"/>
          <w:b/>
          <w:szCs w:val="22"/>
        </w:rPr>
        <w:t xml:space="preserve"> grant to loan funding</w:t>
      </w:r>
      <w:r w:rsidR="00D021B3" w:rsidRPr="00E813E9">
        <w:rPr>
          <w:rFonts w:ascii="Arial" w:hAnsi="Arial" w:cs="Arial"/>
          <w:b/>
          <w:szCs w:val="22"/>
        </w:rPr>
        <w:t>. This could have</w:t>
      </w:r>
      <w:r w:rsidR="000462E8" w:rsidRPr="00E813E9">
        <w:rPr>
          <w:rFonts w:ascii="Arial" w:hAnsi="Arial" w:cs="Arial"/>
          <w:b/>
          <w:szCs w:val="22"/>
        </w:rPr>
        <w:t xml:space="preserve"> </w:t>
      </w:r>
      <w:r w:rsidR="00E75122" w:rsidRPr="00E813E9">
        <w:rPr>
          <w:rFonts w:ascii="Arial" w:hAnsi="Arial" w:cs="Arial"/>
          <w:b/>
          <w:szCs w:val="22"/>
        </w:rPr>
        <w:t>negative</w:t>
      </w:r>
      <w:r w:rsidR="000462E8" w:rsidRPr="00E813E9">
        <w:rPr>
          <w:rFonts w:ascii="Arial" w:hAnsi="Arial" w:cs="Arial"/>
          <w:b/>
          <w:szCs w:val="22"/>
        </w:rPr>
        <w:t xml:space="preserve"> implications for countries as they incur further cycles of indebtedness, </w:t>
      </w:r>
      <w:r w:rsidR="00D021B3" w:rsidRPr="00E813E9">
        <w:rPr>
          <w:rFonts w:ascii="Arial" w:hAnsi="Arial" w:cs="Arial"/>
          <w:b/>
          <w:szCs w:val="22"/>
        </w:rPr>
        <w:t xml:space="preserve">and does not build a sustainable model of financing for </w:t>
      </w:r>
      <w:r w:rsidR="001D7D6C" w:rsidRPr="00E813E9">
        <w:rPr>
          <w:rFonts w:ascii="Arial" w:hAnsi="Arial" w:cs="Arial"/>
          <w:b/>
          <w:szCs w:val="22"/>
        </w:rPr>
        <w:t>SRHR</w:t>
      </w:r>
      <w:r w:rsidR="000462E8" w:rsidRPr="00E813E9">
        <w:rPr>
          <w:rFonts w:ascii="Arial" w:hAnsi="Arial" w:cs="Arial"/>
          <w:b/>
          <w:szCs w:val="22"/>
        </w:rPr>
        <w:t>.</w:t>
      </w:r>
    </w:p>
    <w:p w14:paraId="45128A54" w14:textId="1B7F3F34" w:rsidR="00B57313" w:rsidRDefault="007E61ED" w:rsidP="007346EB">
      <w:pPr>
        <w:spacing w:line="240" w:lineRule="auto"/>
        <w:rPr>
          <w:rFonts w:ascii="Arial" w:hAnsi="Arial" w:cs="Arial"/>
          <w:szCs w:val="22"/>
        </w:rPr>
      </w:pPr>
      <w:r w:rsidRPr="00E46E77">
        <w:rPr>
          <w:rFonts w:ascii="Arial" w:hAnsi="Arial" w:cs="Arial"/>
          <w:szCs w:val="22"/>
        </w:rPr>
        <w:t>The</w:t>
      </w:r>
      <w:r w:rsidR="00905021">
        <w:rPr>
          <w:rFonts w:ascii="Arial" w:hAnsi="Arial" w:cs="Arial"/>
          <w:szCs w:val="22"/>
        </w:rPr>
        <w:t xml:space="preserve"> ambition of the GFF is</w:t>
      </w:r>
      <w:r w:rsidR="00D021B3">
        <w:rPr>
          <w:rFonts w:ascii="Arial" w:hAnsi="Arial" w:cs="Arial"/>
          <w:szCs w:val="22"/>
        </w:rPr>
        <w:t xml:space="preserve"> to increase </w:t>
      </w:r>
      <w:r w:rsidRPr="00E46E77">
        <w:rPr>
          <w:rFonts w:ascii="Arial" w:hAnsi="Arial" w:cs="Arial"/>
          <w:szCs w:val="22"/>
        </w:rPr>
        <w:t xml:space="preserve">global and national </w:t>
      </w:r>
      <w:r w:rsidR="00D021B3">
        <w:rPr>
          <w:rFonts w:ascii="Arial" w:hAnsi="Arial" w:cs="Arial"/>
          <w:szCs w:val="22"/>
        </w:rPr>
        <w:t>financing for</w:t>
      </w:r>
      <w:r w:rsidRPr="00E46E77">
        <w:rPr>
          <w:rFonts w:ascii="Arial" w:hAnsi="Arial" w:cs="Arial"/>
          <w:szCs w:val="22"/>
        </w:rPr>
        <w:t xml:space="preserve"> </w:t>
      </w:r>
      <w:r w:rsidR="00E86615">
        <w:rPr>
          <w:rFonts w:ascii="Arial" w:hAnsi="Arial" w:cs="Arial"/>
          <w:szCs w:val="22"/>
        </w:rPr>
        <w:t xml:space="preserve">RMNCAH. IPPF and other SRHR civil society organizations have advocated for </w:t>
      </w:r>
      <w:r w:rsidR="003E0078" w:rsidRPr="00E46E77">
        <w:rPr>
          <w:rFonts w:ascii="Arial" w:hAnsi="Arial" w:cs="Arial"/>
          <w:szCs w:val="22"/>
        </w:rPr>
        <w:t>sexual and reproductive health</w:t>
      </w:r>
      <w:r w:rsidR="00E86615">
        <w:rPr>
          <w:rFonts w:ascii="Arial" w:hAnsi="Arial" w:cs="Arial"/>
          <w:szCs w:val="22"/>
        </w:rPr>
        <w:t xml:space="preserve"> to be prioritized within the GFF</w:t>
      </w:r>
      <w:r w:rsidR="00237B30">
        <w:rPr>
          <w:rFonts w:ascii="Arial" w:hAnsi="Arial" w:cs="Arial"/>
          <w:szCs w:val="22"/>
        </w:rPr>
        <w:t xml:space="preserve">, as a key component of </w:t>
      </w:r>
      <w:r w:rsidR="001D7D6C">
        <w:rPr>
          <w:rFonts w:ascii="Arial" w:hAnsi="Arial" w:cs="Arial"/>
          <w:szCs w:val="22"/>
        </w:rPr>
        <w:t>RMNCAH</w:t>
      </w:r>
      <w:r w:rsidR="00B11DF2">
        <w:rPr>
          <w:rFonts w:ascii="Arial" w:hAnsi="Arial" w:cs="Arial"/>
          <w:szCs w:val="22"/>
        </w:rPr>
        <w:t xml:space="preserve">. </w:t>
      </w:r>
      <w:r w:rsidR="00237B30">
        <w:rPr>
          <w:rFonts w:ascii="Arial" w:hAnsi="Arial" w:cs="Arial"/>
          <w:szCs w:val="22"/>
        </w:rPr>
        <w:t xml:space="preserve"> </w:t>
      </w:r>
    </w:p>
    <w:p w14:paraId="00539514" w14:textId="6AEBDA9C" w:rsidR="007E727B" w:rsidRPr="007F13A3" w:rsidRDefault="00237B30" w:rsidP="007346EB">
      <w:pPr>
        <w:spacing w:line="240" w:lineRule="auto"/>
        <w:rPr>
          <w:rFonts w:ascii="Arial" w:hAnsi="Arial" w:cs="Arial"/>
          <w:b/>
        </w:rPr>
      </w:pPr>
      <w:r w:rsidRPr="008206C7">
        <w:rPr>
          <w:rFonts w:ascii="Arial" w:hAnsi="Arial" w:cs="Arial"/>
        </w:rPr>
        <w:lastRenderedPageBreak/>
        <w:t>However, t</w:t>
      </w:r>
      <w:r w:rsidR="00EF20ED" w:rsidRPr="008206C7">
        <w:rPr>
          <w:rFonts w:ascii="Arial" w:hAnsi="Arial" w:cs="Arial"/>
        </w:rPr>
        <w:t xml:space="preserve">he emphasis on </w:t>
      </w:r>
      <w:r w:rsidR="00EF20ED" w:rsidRPr="008206C7">
        <w:rPr>
          <w:rFonts w:ascii="Arial" w:hAnsi="Arial" w:cs="Arial"/>
          <w:bCs/>
        </w:rPr>
        <w:t>domestic resources</w:t>
      </w:r>
      <w:r w:rsidR="00EF20ED" w:rsidRPr="008206C7">
        <w:rPr>
          <w:rFonts w:ascii="Arial" w:hAnsi="Arial" w:cs="Arial"/>
        </w:rPr>
        <w:t xml:space="preserve"> comes with a set of risks and threats to sustainability.</w:t>
      </w:r>
      <w:r w:rsidR="007E727B" w:rsidRPr="008206C7">
        <w:rPr>
          <w:rFonts w:ascii="Arial" w:hAnsi="Arial" w:cs="Arial"/>
        </w:rPr>
        <w:t xml:space="preserve"> Firstly, IPPF is concerned about the </w:t>
      </w:r>
      <w:r w:rsidR="00734D6E" w:rsidRPr="008206C7">
        <w:rPr>
          <w:rFonts w:ascii="Arial" w:hAnsi="Arial" w:cs="Arial"/>
        </w:rPr>
        <w:t xml:space="preserve">GFF’s </w:t>
      </w:r>
      <w:r w:rsidR="007E727B" w:rsidRPr="008206C7">
        <w:rPr>
          <w:rFonts w:ascii="Arial" w:hAnsi="Arial" w:cs="Arial"/>
        </w:rPr>
        <w:t>emphasis on domestic resources in light of the fact that currently</w:t>
      </w:r>
      <w:r w:rsidR="00A04EDA" w:rsidRPr="008206C7">
        <w:rPr>
          <w:rFonts w:ascii="Arial" w:hAnsi="Arial" w:cs="Arial"/>
        </w:rPr>
        <w:t>,</w:t>
      </w:r>
      <w:r w:rsidR="007E727B" w:rsidRPr="008206C7">
        <w:rPr>
          <w:rFonts w:ascii="Arial" w:hAnsi="Arial" w:cs="Arial"/>
        </w:rPr>
        <w:t xml:space="preserve"> consumer out-of-pocket payments in developing countries appear to account for the single greatest source of financing for the I</w:t>
      </w:r>
      <w:r w:rsidR="004A48A3">
        <w:rPr>
          <w:rFonts w:ascii="Arial" w:hAnsi="Arial" w:cs="Arial"/>
        </w:rPr>
        <w:t xml:space="preserve">nternational </w:t>
      </w:r>
      <w:r w:rsidR="007E727B" w:rsidRPr="008206C7">
        <w:rPr>
          <w:rFonts w:ascii="Arial" w:hAnsi="Arial" w:cs="Arial"/>
        </w:rPr>
        <w:t>C</w:t>
      </w:r>
      <w:r w:rsidR="004A48A3">
        <w:rPr>
          <w:rFonts w:ascii="Arial" w:hAnsi="Arial" w:cs="Arial"/>
        </w:rPr>
        <w:t xml:space="preserve">onference on </w:t>
      </w:r>
      <w:r w:rsidR="007E727B" w:rsidRPr="008206C7">
        <w:rPr>
          <w:rFonts w:ascii="Arial" w:hAnsi="Arial" w:cs="Arial"/>
        </w:rPr>
        <w:t>P</w:t>
      </w:r>
      <w:r w:rsidR="004A48A3">
        <w:rPr>
          <w:rFonts w:ascii="Arial" w:hAnsi="Arial" w:cs="Arial"/>
        </w:rPr>
        <w:t xml:space="preserve">opulation and </w:t>
      </w:r>
      <w:r w:rsidR="007E727B" w:rsidRPr="008206C7">
        <w:rPr>
          <w:rFonts w:ascii="Arial" w:hAnsi="Arial" w:cs="Arial"/>
        </w:rPr>
        <w:t>D</w:t>
      </w:r>
      <w:r w:rsidR="004A48A3">
        <w:rPr>
          <w:rFonts w:ascii="Arial" w:hAnsi="Arial" w:cs="Arial"/>
        </w:rPr>
        <w:t>evelopment (ICPD)</w:t>
      </w:r>
      <w:r w:rsidR="007E727B" w:rsidRPr="008206C7">
        <w:rPr>
          <w:rFonts w:ascii="Arial" w:hAnsi="Arial" w:cs="Arial"/>
        </w:rPr>
        <w:t xml:space="preserve"> costed package.</w:t>
      </w:r>
      <w:r w:rsidR="00A04EDA" w:rsidRPr="008206C7">
        <w:rPr>
          <w:rStyle w:val="FootnoteReference"/>
          <w:rFonts w:ascii="Arial" w:hAnsi="Arial" w:cs="Arial"/>
        </w:rPr>
        <w:footnoteReference w:id="2"/>
      </w:r>
      <w:r w:rsidR="007E727B" w:rsidRPr="008206C7">
        <w:rPr>
          <w:rFonts w:ascii="Arial" w:hAnsi="Arial" w:cs="Arial"/>
        </w:rPr>
        <w:t xml:space="preserve"> </w:t>
      </w:r>
      <w:r w:rsidR="007E727B" w:rsidRPr="00712B95">
        <w:rPr>
          <w:rFonts w:ascii="Arial" w:hAnsi="Arial" w:cs="Arial"/>
          <w:b/>
        </w:rPr>
        <w:t xml:space="preserve">Considering </w:t>
      </w:r>
      <w:r w:rsidR="00E813E9">
        <w:rPr>
          <w:rFonts w:ascii="Arial" w:hAnsi="Arial" w:cs="Arial"/>
          <w:b/>
        </w:rPr>
        <w:t>this</w:t>
      </w:r>
      <w:r w:rsidR="007E727B" w:rsidRPr="00712B95">
        <w:rPr>
          <w:rFonts w:ascii="Arial" w:hAnsi="Arial" w:cs="Arial"/>
          <w:b/>
        </w:rPr>
        <w:t xml:space="preserve">, </w:t>
      </w:r>
      <w:r w:rsidR="00D32CE5" w:rsidRPr="00712B95">
        <w:rPr>
          <w:rFonts w:ascii="Arial" w:hAnsi="Arial" w:cs="Arial"/>
          <w:b/>
        </w:rPr>
        <w:t>IPPF recommends that</w:t>
      </w:r>
      <w:r w:rsidR="007E727B" w:rsidRPr="00712B95">
        <w:rPr>
          <w:rFonts w:ascii="Arial" w:hAnsi="Arial" w:cs="Arial"/>
          <w:b/>
        </w:rPr>
        <w:t xml:space="preserve"> the GFF’s emphasis on domestic resourcing does not </w:t>
      </w:r>
      <w:r w:rsidR="007F13A3">
        <w:rPr>
          <w:rFonts w:ascii="Arial" w:hAnsi="Arial" w:cs="Arial"/>
          <w:b/>
        </w:rPr>
        <w:t xml:space="preserve">inadvertently </w:t>
      </w:r>
      <w:r w:rsidR="007E727B" w:rsidRPr="00712B95">
        <w:rPr>
          <w:rFonts w:ascii="Arial" w:hAnsi="Arial" w:cs="Arial"/>
          <w:b/>
        </w:rPr>
        <w:t xml:space="preserve">increase private out-of-pocket financing for reproductive </w:t>
      </w:r>
      <w:r w:rsidR="007F13A3">
        <w:rPr>
          <w:rFonts w:ascii="Arial" w:hAnsi="Arial" w:cs="Arial"/>
          <w:b/>
        </w:rPr>
        <w:t xml:space="preserve">health services and supplies, </w:t>
      </w:r>
      <w:r w:rsidR="00734D6E" w:rsidRPr="00712B95">
        <w:rPr>
          <w:rFonts w:ascii="Arial" w:hAnsi="Arial" w:cs="Arial"/>
          <w:b/>
        </w:rPr>
        <w:t>particularly for the poorest</w:t>
      </w:r>
      <w:r w:rsidR="008206C7" w:rsidRPr="00712B95">
        <w:rPr>
          <w:rFonts w:ascii="Arial" w:hAnsi="Arial" w:cs="Arial"/>
          <w:b/>
        </w:rPr>
        <w:t xml:space="preserve"> and most vulnerable</w:t>
      </w:r>
      <w:r w:rsidR="00734D6E" w:rsidRPr="00712B95">
        <w:rPr>
          <w:rFonts w:ascii="Arial" w:hAnsi="Arial" w:cs="Arial"/>
          <w:b/>
        </w:rPr>
        <w:t xml:space="preserve"> populations</w:t>
      </w:r>
      <w:r w:rsidR="007F13A3">
        <w:rPr>
          <w:rFonts w:ascii="Arial" w:hAnsi="Arial" w:cs="Arial"/>
          <w:b/>
        </w:rPr>
        <w:t>.</w:t>
      </w:r>
      <w:r w:rsidR="007E727B">
        <w:rPr>
          <w:rFonts w:ascii="Arial" w:hAnsi="Arial" w:cs="Arial"/>
        </w:rPr>
        <w:t xml:space="preserve"> </w:t>
      </w:r>
    </w:p>
    <w:p w14:paraId="6FB825B5" w14:textId="616A7968" w:rsidR="00C60B6C" w:rsidRPr="00EF20ED" w:rsidRDefault="0015262B" w:rsidP="007346EB">
      <w:pPr>
        <w:spacing w:line="240" w:lineRule="auto"/>
        <w:rPr>
          <w:rFonts w:ascii="Arial" w:eastAsia="Arial" w:hAnsi="Arial" w:cs="Arial"/>
          <w:szCs w:val="22"/>
        </w:rPr>
      </w:pPr>
      <w:r w:rsidRPr="00EF20ED">
        <w:rPr>
          <w:rFonts w:ascii="Arial" w:hAnsi="Arial" w:cs="Arial"/>
          <w:szCs w:val="22"/>
        </w:rPr>
        <w:t>IPPF is concerned about t</w:t>
      </w:r>
      <w:r w:rsidR="00C60B6C" w:rsidRPr="00EF20ED">
        <w:rPr>
          <w:rFonts w:ascii="Arial" w:hAnsi="Arial" w:cs="Arial"/>
          <w:szCs w:val="22"/>
        </w:rPr>
        <w:t xml:space="preserve">he </w:t>
      </w:r>
      <w:r w:rsidR="002B4353" w:rsidRPr="00EF20ED">
        <w:rPr>
          <w:rFonts w:ascii="Arial" w:hAnsi="Arial" w:cs="Arial"/>
          <w:szCs w:val="22"/>
        </w:rPr>
        <w:t xml:space="preserve">negative </w:t>
      </w:r>
      <w:r w:rsidR="00C60B6C" w:rsidRPr="00EF20ED">
        <w:rPr>
          <w:rFonts w:ascii="Arial" w:hAnsi="Arial" w:cs="Arial"/>
          <w:szCs w:val="22"/>
        </w:rPr>
        <w:t>implications of linking grant and loan funding for sustainable financing</w:t>
      </w:r>
      <w:r w:rsidR="002B4353" w:rsidRPr="00EF20ED">
        <w:rPr>
          <w:rFonts w:ascii="Arial" w:hAnsi="Arial" w:cs="Arial"/>
          <w:szCs w:val="22"/>
        </w:rPr>
        <w:t xml:space="preserve"> for </w:t>
      </w:r>
      <w:r w:rsidR="001D7D6C">
        <w:rPr>
          <w:rFonts w:ascii="Arial" w:hAnsi="Arial" w:cs="Arial"/>
          <w:szCs w:val="22"/>
        </w:rPr>
        <w:t>SRHR</w:t>
      </w:r>
      <w:r w:rsidRPr="00EF20ED">
        <w:rPr>
          <w:rFonts w:ascii="Arial" w:hAnsi="Arial" w:cs="Arial"/>
          <w:szCs w:val="22"/>
        </w:rPr>
        <w:t xml:space="preserve">. </w:t>
      </w:r>
      <w:r w:rsidR="00C60B6C" w:rsidRPr="00EF20ED">
        <w:rPr>
          <w:rFonts w:ascii="Arial" w:hAnsi="Arial" w:cs="Arial"/>
          <w:szCs w:val="22"/>
        </w:rPr>
        <w:t>According to the business plan, the GFF plans to highly “incentivize” IDA and I</w:t>
      </w:r>
      <w:r w:rsidR="001D38B8" w:rsidRPr="00EF20ED">
        <w:rPr>
          <w:rFonts w:ascii="Arial" w:hAnsi="Arial" w:cs="Arial"/>
          <w:szCs w:val="22"/>
        </w:rPr>
        <w:t>BRD</w:t>
      </w:r>
      <w:r w:rsidR="00C60B6C" w:rsidRPr="00EF20ED">
        <w:rPr>
          <w:rFonts w:ascii="Arial" w:hAnsi="Arial" w:cs="Arial"/>
          <w:szCs w:val="22"/>
        </w:rPr>
        <w:t xml:space="preserve"> loans for financing of reproductive, maternal, newborn, child and adolescent health. </w:t>
      </w:r>
      <w:r w:rsidR="00313A92" w:rsidRPr="00EF20ED">
        <w:rPr>
          <w:rFonts w:ascii="Arial" w:hAnsi="Arial" w:cs="Arial"/>
          <w:szCs w:val="22"/>
        </w:rPr>
        <w:t xml:space="preserve">In order to obtain GFF grant resources, countries will be required to accept four dollars of IDA/IBRD loan financing on average.  </w:t>
      </w:r>
    </w:p>
    <w:p w14:paraId="305C5A2C" w14:textId="0A65E818" w:rsidR="00C60B6C" w:rsidRDefault="00C60B6C" w:rsidP="007346EB">
      <w:pPr>
        <w:spacing w:line="240" w:lineRule="auto"/>
        <w:rPr>
          <w:rFonts w:ascii="Arial" w:hAnsi="Arial" w:cs="Arial"/>
          <w:b/>
          <w:szCs w:val="22"/>
        </w:rPr>
      </w:pPr>
      <w:r>
        <w:rPr>
          <w:rFonts w:ascii="Arial" w:hAnsi="Arial" w:cs="Arial"/>
          <w:szCs w:val="22"/>
        </w:rPr>
        <w:t xml:space="preserve">This has implications for the conditions of funding that governments enter into, impacting on the sustainability of their financing for health.  </w:t>
      </w:r>
      <w:r w:rsidR="00B41A97">
        <w:rPr>
          <w:rFonts w:ascii="Arial" w:hAnsi="Arial" w:cs="Arial"/>
          <w:szCs w:val="22"/>
        </w:rPr>
        <w:t>As</w:t>
      </w:r>
      <w:r>
        <w:rPr>
          <w:rFonts w:ascii="Arial" w:hAnsi="Arial" w:cs="Arial"/>
          <w:szCs w:val="22"/>
        </w:rPr>
        <w:t xml:space="preserve"> grant</w:t>
      </w:r>
      <w:r w:rsidR="00F1056D">
        <w:rPr>
          <w:rFonts w:ascii="Arial" w:hAnsi="Arial" w:cs="Arial"/>
          <w:szCs w:val="22"/>
        </w:rPr>
        <w:t>s</w:t>
      </w:r>
      <w:r>
        <w:rPr>
          <w:rFonts w:ascii="Arial" w:hAnsi="Arial" w:cs="Arial"/>
          <w:szCs w:val="22"/>
        </w:rPr>
        <w:t xml:space="preserve"> will be linked to loan </w:t>
      </w:r>
      <w:r w:rsidR="00F1056D">
        <w:rPr>
          <w:rFonts w:ascii="Arial" w:hAnsi="Arial" w:cs="Arial"/>
          <w:szCs w:val="22"/>
        </w:rPr>
        <w:t>financing</w:t>
      </w:r>
      <w:r>
        <w:rPr>
          <w:rFonts w:ascii="Arial" w:hAnsi="Arial" w:cs="Arial"/>
          <w:szCs w:val="22"/>
        </w:rPr>
        <w:t>, this could create future of cycles of indebtedness for governments already struggling to finance core sectors such as health. It is generally accepted that</w:t>
      </w:r>
      <w:r w:rsidRPr="00C90838">
        <w:rPr>
          <w:rFonts w:ascii="Arial" w:hAnsi="Arial" w:cs="Arial"/>
          <w:szCs w:val="22"/>
        </w:rPr>
        <w:t xml:space="preserve"> loan/debt financing of annually recurring operating (“current”) costs</w:t>
      </w:r>
      <w:r>
        <w:rPr>
          <w:rStyle w:val="FootnoteReference"/>
          <w:rFonts w:ascii="Arial" w:hAnsi="Arial" w:cs="Arial"/>
          <w:szCs w:val="22"/>
        </w:rPr>
        <w:footnoteReference w:id="3"/>
      </w:r>
      <w:r w:rsidRPr="00C90838">
        <w:rPr>
          <w:rFonts w:ascii="Arial" w:hAnsi="Arial" w:cs="Arial"/>
          <w:szCs w:val="22"/>
        </w:rPr>
        <w:t xml:space="preserve"> increases the overall financial burden of those costs and risks undermining economic development unless certain factors are in place. Put simply, as non-concessional loans and market-like instruments are designed to return profits to capital providers, they increase the net cost of development effort, which in turn increases the burden on developing countries. </w:t>
      </w:r>
      <w:r w:rsidR="002B4353">
        <w:rPr>
          <w:rFonts w:ascii="Arial" w:hAnsi="Arial" w:cs="Arial"/>
          <w:szCs w:val="22"/>
        </w:rPr>
        <w:t xml:space="preserve"> </w:t>
      </w:r>
      <w:r w:rsidR="002B4353" w:rsidRPr="00E813E9">
        <w:rPr>
          <w:rFonts w:ascii="Arial" w:hAnsi="Arial" w:cs="Arial"/>
          <w:szCs w:val="22"/>
        </w:rPr>
        <w:t>IPPF recommends that i</w:t>
      </w:r>
      <w:r w:rsidRPr="00E813E9">
        <w:rPr>
          <w:rFonts w:ascii="Arial" w:hAnsi="Arial" w:cs="Arial"/>
          <w:szCs w:val="22"/>
        </w:rPr>
        <w:t xml:space="preserve">n order to </w:t>
      </w:r>
      <w:r w:rsidR="00F1056D" w:rsidRPr="00E813E9">
        <w:rPr>
          <w:rFonts w:ascii="Arial" w:hAnsi="Arial" w:cs="Arial"/>
          <w:szCs w:val="22"/>
        </w:rPr>
        <w:t xml:space="preserve">ensure </w:t>
      </w:r>
      <w:r w:rsidRPr="00E813E9">
        <w:rPr>
          <w:rFonts w:ascii="Arial" w:hAnsi="Arial" w:cs="Arial"/>
          <w:szCs w:val="22"/>
        </w:rPr>
        <w:t>that loan/debt financing does not undermine sustainable development, these instruments should be considered generally inappropriate for financing of recurring operating (current) costs, except in clearly specified circumstances, such as if the loan is planned to (a) serve as a bridge that fills a gap in financing due to known/planned donor disbursement delays; (b) with a donor guarantee / pledge backing; and (c) highly concessional in the case of Least Developing Countries (LDCs).</w:t>
      </w:r>
      <w:r w:rsidR="002B4353" w:rsidRPr="00E813E9">
        <w:rPr>
          <w:rFonts w:ascii="Arial" w:hAnsi="Arial" w:cs="Arial"/>
          <w:szCs w:val="22"/>
        </w:rPr>
        <w:t xml:space="preserve"> </w:t>
      </w:r>
      <w:r w:rsidR="00471051">
        <w:rPr>
          <w:rFonts w:ascii="Arial" w:hAnsi="Arial" w:cs="Arial"/>
          <w:b/>
          <w:szCs w:val="22"/>
        </w:rPr>
        <w:t xml:space="preserve">IPPF recommends that mechanisms within the GFF should make available sufficient grant assistance to ensure that access to essential reproductive health information, services and supplies is ensured without loan/debt financing of annually recurring operating costs. </w:t>
      </w:r>
    </w:p>
    <w:p w14:paraId="09BB0B0F" w14:textId="64010940" w:rsidR="00712B95" w:rsidRPr="0015262B" w:rsidRDefault="00712B95" w:rsidP="00E813E9">
      <w:pPr>
        <w:pStyle w:val="ListParagraph"/>
        <w:numPr>
          <w:ilvl w:val="0"/>
          <w:numId w:val="39"/>
        </w:numPr>
        <w:spacing w:line="240" w:lineRule="auto"/>
        <w:rPr>
          <w:rFonts w:ascii="Arial" w:eastAsia="Arial" w:hAnsi="Arial" w:cs="Arial"/>
          <w:szCs w:val="22"/>
        </w:rPr>
      </w:pPr>
      <w:r>
        <w:rPr>
          <w:rFonts w:ascii="Arial" w:hAnsi="Arial" w:cs="Arial"/>
          <w:b/>
          <w:szCs w:val="22"/>
        </w:rPr>
        <w:t xml:space="preserve">IPPF recommends that the GFF should cover financing for </w:t>
      </w:r>
      <w:r w:rsidR="00F1056D">
        <w:rPr>
          <w:rFonts w:ascii="Arial" w:hAnsi="Arial" w:cs="Arial"/>
          <w:b/>
          <w:szCs w:val="22"/>
        </w:rPr>
        <w:t xml:space="preserve">both </w:t>
      </w:r>
      <w:r>
        <w:rPr>
          <w:rFonts w:ascii="Arial" w:hAnsi="Arial" w:cs="Arial"/>
          <w:b/>
          <w:szCs w:val="22"/>
        </w:rPr>
        <w:t xml:space="preserve">targets relating to SRHR currently covered under SDG 3 </w:t>
      </w:r>
      <w:r w:rsidRPr="00905021">
        <w:rPr>
          <w:rFonts w:ascii="Arial" w:hAnsi="Arial" w:cs="Arial"/>
          <w:b/>
          <w:szCs w:val="22"/>
        </w:rPr>
        <w:t xml:space="preserve">(Ensure healthy lives and promote well-being for all at all ages) </w:t>
      </w:r>
      <w:r w:rsidRPr="005821F8">
        <w:rPr>
          <w:rFonts w:ascii="Arial" w:hAnsi="Arial" w:cs="Arial"/>
          <w:b/>
          <w:szCs w:val="22"/>
          <w:u w:val="single"/>
        </w:rPr>
        <w:t>and</w:t>
      </w:r>
      <w:r w:rsidRPr="00905021">
        <w:rPr>
          <w:rFonts w:ascii="Arial" w:hAnsi="Arial" w:cs="Arial"/>
          <w:b/>
          <w:szCs w:val="22"/>
        </w:rPr>
        <w:t xml:space="preserve"> SDG 5 (‘Achieve gender equality and empower all women and girls’)</w:t>
      </w:r>
      <w:r>
        <w:rPr>
          <w:rFonts w:ascii="Arial" w:hAnsi="Arial" w:cs="Arial"/>
          <w:b/>
          <w:szCs w:val="22"/>
        </w:rPr>
        <w:t>.</w:t>
      </w:r>
    </w:p>
    <w:p w14:paraId="67A3F572" w14:textId="77777777" w:rsidR="00712B95" w:rsidRDefault="00712B95" w:rsidP="00712B95">
      <w:pPr>
        <w:spacing w:line="240" w:lineRule="auto"/>
        <w:rPr>
          <w:rFonts w:ascii="Arial" w:eastAsia="Arial" w:hAnsi="Arial" w:cs="Arial"/>
          <w:szCs w:val="22"/>
        </w:rPr>
      </w:pPr>
      <w:r>
        <w:rPr>
          <w:rFonts w:ascii="Arial" w:eastAsia="Arial" w:hAnsi="Arial" w:cs="Arial"/>
          <w:szCs w:val="22"/>
        </w:rPr>
        <w:t xml:space="preserve">The business plan sets out that the GFF will finance the SDG target on </w:t>
      </w:r>
      <w:r w:rsidRPr="002E37D1">
        <w:rPr>
          <w:rFonts w:ascii="Arial" w:eastAsia="Arial" w:hAnsi="Arial" w:cs="Arial"/>
          <w:szCs w:val="22"/>
        </w:rPr>
        <w:t xml:space="preserve">Goal 3 </w:t>
      </w:r>
      <w:r>
        <w:rPr>
          <w:rFonts w:ascii="Arial" w:eastAsia="Arial" w:hAnsi="Arial" w:cs="Arial"/>
          <w:szCs w:val="22"/>
        </w:rPr>
        <w:t>“</w:t>
      </w:r>
      <w:r w:rsidRPr="002E37D1">
        <w:rPr>
          <w:rFonts w:ascii="Arial" w:eastAsia="Arial" w:hAnsi="Arial" w:cs="Arial"/>
          <w:i/>
          <w:szCs w:val="22"/>
        </w:rPr>
        <w:t>Ensure healthy lives and promote well-being for all at all ages</w:t>
      </w:r>
      <w:r>
        <w:rPr>
          <w:rFonts w:ascii="Arial" w:eastAsia="Arial" w:hAnsi="Arial" w:cs="Arial"/>
          <w:szCs w:val="22"/>
        </w:rPr>
        <w:t xml:space="preserve">”, but does not propose that GFF funding will also cover goal 5, </w:t>
      </w:r>
      <w:r w:rsidRPr="00743BC5">
        <w:rPr>
          <w:rFonts w:ascii="Arial" w:eastAsia="Arial" w:hAnsi="Arial" w:cs="Arial"/>
          <w:szCs w:val="22"/>
        </w:rPr>
        <w:t>‘</w:t>
      </w:r>
      <w:r w:rsidRPr="00743BC5">
        <w:rPr>
          <w:rFonts w:ascii="Arial" w:hAnsi="Arial" w:cs="Arial"/>
          <w:i/>
          <w:szCs w:val="22"/>
        </w:rPr>
        <w:t>Achieve gender equality and empower all women and girls’</w:t>
      </w:r>
      <w:r>
        <w:rPr>
          <w:rFonts w:ascii="Arial" w:eastAsia="Arial" w:hAnsi="Arial" w:cs="Arial"/>
          <w:szCs w:val="22"/>
        </w:rPr>
        <w:t xml:space="preserve">. </w:t>
      </w:r>
    </w:p>
    <w:p w14:paraId="3534F8B5" w14:textId="5E68BB8A" w:rsidR="002E37D1" w:rsidRPr="00B41A97" w:rsidRDefault="00712B95" w:rsidP="00B41A97">
      <w:pPr>
        <w:spacing w:line="240" w:lineRule="auto"/>
        <w:rPr>
          <w:rFonts w:ascii="Arial" w:hAnsi="Arial" w:cs="Arial"/>
          <w:b/>
          <w:szCs w:val="22"/>
        </w:rPr>
      </w:pPr>
      <w:r>
        <w:rPr>
          <w:rFonts w:ascii="Arial" w:hAnsi="Arial" w:cs="Arial"/>
          <w:szCs w:val="22"/>
        </w:rPr>
        <w:t xml:space="preserve">This is important as SDG 5 and its related targets will cover the full range of sexual and reproductive health services, as well as reproductive rights, covered under the ICPD Programme of Action costed package, which is broader than what is currently included in SDG 3.  IPPF recommends that the GFF is linked to the range of </w:t>
      </w:r>
      <w:r w:rsidRPr="00E813E9">
        <w:rPr>
          <w:rFonts w:ascii="Arial" w:hAnsi="Arial" w:cs="Arial"/>
          <w:szCs w:val="22"/>
          <w:u w:val="single"/>
        </w:rPr>
        <w:t>targets</w:t>
      </w:r>
      <w:r>
        <w:rPr>
          <w:rFonts w:ascii="Arial" w:hAnsi="Arial" w:cs="Arial"/>
          <w:szCs w:val="22"/>
        </w:rPr>
        <w:t xml:space="preserve"> included under SDG</w:t>
      </w:r>
      <w:r w:rsidR="00F1056D">
        <w:rPr>
          <w:rFonts w:ascii="Arial" w:hAnsi="Arial" w:cs="Arial"/>
          <w:szCs w:val="22"/>
        </w:rPr>
        <w:t>s</w:t>
      </w:r>
      <w:r>
        <w:rPr>
          <w:rFonts w:ascii="Arial" w:hAnsi="Arial" w:cs="Arial"/>
          <w:szCs w:val="22"/>
        </w:rPr>
        <w:t xml:space="preserve"> 3 and 5, as solely linking the GFF to </w:t>
      </w:r>
      <w:r w:rsidRPr="00E813E9">
        <w:rPr>
          <w:rFonts w:ascii="Arial" w:hAnsi="Arial" w:cs="Arial"/>
          <w:szCs w:val="22"/>
          <w:u w:val="single"/>
        </w:rPr>
        <w:t>indicators</w:t>
      </w:r>
      <w:r>
        <w:rPr>
          <w:rFonts w:ascii="Arial" w:hAnsi="Arial" w:cs="Arial"/>
          <w:szCs w:val="22"/>
        </w:rPr>
        <w:t xml:space="preserve"> under the relevant SDGs could lead to the financing of a narrower range of services covered only by the given indicator (e.g. met need satisfied by modern contraceptives). </w:t>
      </w:r>
      <w:r w:rsidRPr="00146E99">
        <w:rPr>
          <w:rFonts w:ascii="Arial" w:hAnsi="Arial" w:cs="Arial"/>
          <w:b/>
          <w:szCs w:val="22"/>
        </w:rPr>
        <w:t xml:space="preserve">IPPF recommends that the GFF financing is </w:t>
      </w:r>
      <w:r w:rsidR="00F1056D">
        <w:rPr>
          <w:rFonts w:ascii="Arial" w:hAnsi="Arial" w:cs="Arial"/>
          <w:b/>
          <w:szCs w:val="22"/>
        </w:rPr>
        <w:t>linked</w:t>
      </w:r>
      <w:r w:rsidR="00F1056D" w:rsidRPr="00146E99">
        <w:rPr>
          <w:rFonts w:ascii="Arial" w:hAnsi="Arial" w:cs="Arial"/>
          <w:b/>
          <w:szCs w:val="22"/>
        </w:rPr>
        <w:t xml:space="preserve"> </w:t>
      </w:r>
      <w:r w:rsidRPr="00146E99">
        <w:rPr>
          <w:rFonts w:ascii="Arial" w:hAnsi="Arial" w:cs="Arial"/>
          <w:b/>
          <w:szCs w:val="22"/>
        </w:rPr>
        <w:t xml:space="preserve">to </w:t>
      </w:r>
      <w:r w:rsidR="00F1056D">
        <w:rPr>
          <w:rFonts w:ascii="Arial" w:hAnsi="Arial" w:cs="Arial"/>
          <w:b/>
          <w:szCs w:val="22"/>
        </w:rPr>
        <w:lastRenderedPageBreak/>
        <w:t xml:space="preserve">the targets under </w:t>
      </w:r>
      <w:r w:rsidRPr="00146E99">
        <w:rPr>
          <w:rFonts w:ascii="Arial" w:hAnsi="Arial" w:cs="Arial"/>
          <w:b/>
          <w:szCs w:val="22"/>
        </w:rPr>
        <w:t>both the SDGs 3 (</w:t>
      </w:r>
      <w:r w:rsidRPr="00146E99">
        <w:rPr>
          <w:rFonts w:ascii="Arial" w:hAnsi="Arial" w:cs="Arial"/>
          <w:b/>
          <w:i/>
          <w:szCs w:val="22"/>
        </w:rPr>
        <w:t>Ensure healthy lives and promote well-being for all at all ages</w:t>
      </w:r>
      <w:r w:rsidRPr="00146E99">
        <w:rPr>
          <w:rFonts w:ascii="Arial" w:hAnsi="Arial" w:cs="Arial"/>
          <w:b/>
          <w:szCs w:val="22"/>
        </w:rPr>
        <w:t>) and SDG 5 (</w:t>
      </w:r>
      <w:r w:rsidRPr="00146E99">
        <w:rPr>
          <w:rFonts w:ascii="Arial" w:hAnsi="Arial" w:cs="Arial"/>
          <w:b/>
          <w:i/>
          <w:szCs w:val="22"/>
        </w:rPr>
        <w:t>‘girls’</w:t>
      </w:r>
      <w:r w:rsidRPr="00146E99">
        <w:rPr>
          <w:rFonts w:ascii="Arial" w:hAnsi="Arial" w:cs="Arial"/>
          <w:b/>
          <w:szCs w:val="22"/>
        </w:rPr>
        <w:t>)</w:t>
      </w:r>
      <w:r w:rsidR="00F1056D">
        <w:rPr>
          <w:rFonts w:ascii="Arial" w:hAnsi="Arial" w:cs="Arial"/>
          <w:b/>
          <w:szCs w:val="22"/>
        </w:rPr>
        <w:t>.</w:t>
      </w:r>
      <w:r w:rsidR="0061583C">
        <w:rPr>
          <w:rFonts w:ascii="Arial" w:hAnsi="Arial" w:cs="Arial"/>
          <w:b/>
          <w:szCs w:val="22"/>
        </w:rPr>
        <w:t xml:space="preserve"> </w:t>
      </w:r>
    </w:p>
    <w:p w14:paraId="0DBEB9FE" w14:textId="5144F9B9" w:rsidR="00D75BDF" w:rsidRDefault="00D75BDF" w:rsidP="00E813E9">
      <w:pPr>
        <w:numPr>
          <w:ilvl w:val="0"/>
          <w:numId w:val="39"/>
        </w:numPr>
        <w:spacing w:after="0" w:line="240" w:lineRule="auto"/>
        <w:contextualSpacing/>
        <w:jc w:val="both"/>
        <w:rPr>
          <w:rFonts w:ascii="Arial" w:hAnsi="Arial" w:cs="Arial"/>
          <w:b/>
          <w:szCs w:val="22"/>
        </w:rPr>
      </w:pPr>
      <w:r>
        <w:rPr>
          <w:rFonts w:ascii="Arial" w:hAnsi="Arial" w:cs="Arial"/>
          <w:b/>
          <w:szCs w:val="22"/>
        </w:rPr>
        <w:t xml:space="preserve">IPPF recommends that </w:t>
      </w:r>
      <w:r w:rsidRPr="00E40637">
        <w:rPr>
          <w:rFonts w:ascii="Arial" w:eastAsia="Arial" w:hAnsi="Arial" w:cs="Arial"/>
          <w:b/>
          <w:szCs w:val="22"/>
        </w:rPr>
        <w:t>civil society must</w:t>
      </w:r>
      <w:r w:rsidR="00F1056D">
        <w:rPr>
          <w:rFonts w:ascii="Arial" w:eastAsia="Arial" w:hAnsi="Arial" w:cs="Arial"/>
          <w:b/>
          <w:szCs w:val="22"/>
        </w:rPr>
        <w:t xml:space="preserve"> have a role</w:t>
      </w:r>
      <w:r w:rsidRPr="00E40637">
        <w:rPr>
          <w:rFonts w:ascii="Arial" w:eastAsia="Arial" w:hAnsi="Arial" w:cs="Arial"/>
          <w:b/>
          <w:szCs w:val="22"/>
        </w:rPr>
        <w:t xml:space="preserve"> in the creation </w:t>
      </w:r>
      <w:r w:rsidR="00F1056D">
        <w:rPr>
          <w:rFonts w:ascii="Arial" w:eastAsia="Arial" w:hAnsi="Arial" w:cs="Arial"/>
          <w:b/>
          <w:szCs w:val="22"/>
        </w:rPr>
        <w:t xml:space="preserve">and validation </w:t>
      </w:r>
      <w:r w:rsidRPr="00E40637">
        <w:rPr>
          <w:rFonts w:ascii="Arial" w:eastAsia="Arial" w:hAnsi="Arial" w:cs="Arial"/>
          <w:b/>
          <w:szCs w:val="22"/>
        </w:rPr>
        <w:t xml:space="preserve">of national plans and financing maps, and have </w:t>
      </w:r>
      <w:r w:rsidR="00AD39A8">
        <w:rPr>
          <w:rFonts w:ascii="Arial" w:eastAsia="Arial" w:hAnsi="Arial" w:cs="Arial"/>
          <w:b/>
          <w:szCs w:val="22"/>
        </w:rPr>
        <w:t xml:space="preserve">a </w:t>
      </w:r>
      <w:r w:rsidRPr="00E40637">
        <w:rPr>
          <w:rFonts w:ascii="Arial" w:eastAsia="Arial" w:hAnsi="Arial" w:cs="Arial"/>
          <w:b/>
          <w:szCs w:val="22"/>
        </w:rPr>
        <w:t>strong role in ensuring accountability.</w:t>
      </w:r>
      <w:r w:rsidRPr="00E40637">
        <w:rPr>
          <w:rFonts w:ascii="Arial" w:eastAsia="Arial" w:hAnsi="Arial" w:cs="Arial"/>
          <w:szCs w:val="22"/>
        </w:rPr>
        <w:t xml:space="preserve"> </w:t>
      </w:r>
    </w:p>
    <w:p w14:paraId="5EF78FF8" w14:textId="77777777" w:rsidR="00D75BDF" w:rsidRDefault="00D75BDF" w:rsidP="007346EB">
      <w:pPr>
        <w:spacing w:after="0" w:line="240" w:lineRule="auto"/>
        <w:contextualSpacing/>
        <w:jc w:val="both"/>
        <w:rPr>
          <w:rFonts w:ascii="Arial" w:eastAsia="Arial" w:hAnsi="Arial" w:cs="Arial"/>
          <w:szCs w:val="22"/>
        </w:rPr>
      </w:pPr>
    </w:p>
    <w:p w14:paraId="1B850414" w14:textId="5E2D1216" w:rsidR="00F1056D" w:rsidRDefault="00C9454A" w:rsidP="00B41A97">
      <w:pPr>
        <w:spacing w:line="240" w:lineRule="auto"/>
        <w:rPr>
          <w:rFonts w:ascii="Arial" w:hAnsi="Arial" w:cs="Arial"/>
          <w:szCs w:val="22"/>
          <w:lang w:val="en-GB"/>
        </w:rPr>
      </w:pPr>
      <w:r w:rsidRPr="00D75BDF">
        <w:rPr>
          <w:rFonts w:ascii="Arial" w:eastAsia="Arial" w:hAnsi="Arial" w:cs="Arial"/>
          <w:szCs w:val="22"/>
        </w:rPr>
        <w:t>Civil society must be included in</w:t>
      </w:r>
      <w:r w:rsidR="005518B9" w:rsidRPr="00D75BDF">
        <w:rPr>
          <w:rFonts w:ascii="Arial" w:eastAsia="Arial" w:hAnsi="Arial" w:cs="Arial"/>
          <w:szCs w:val="22"/>
        </w:rPr>
        <w:t xml:space="preserve"> the creation of </w:t>
      </w:r>
      <w:r w:rsidR="00A56AAE" w:rsidRPr="00D75BDF">
        <w:rPr>
          <w:rFonts w:ascii="Arial" w:eastAsia="Arial" w:hAnsi="Arial" w:cs="Arial"/>
          <w:szCs w:val="22"/>
        </w:rPr>
        <w:t>national investment cases and health financing strategies</w:t>
      </w:r>
      <w:r w:rsidRPr="00D75BDF">
        <w:rPr>
          <w:rFonts w:ascii="Arial" w:eastAsia="Arial" w:hAnsi="Arial" w:cs="Arial"/>
          <w:szCs w:val="22"/>
        </w:rPr>
        <w:t xml:space="preserve">, </w:t>
      </w:r>
      <w:r w:rsidR="005518B9" w:rsidRPr="00D75BDF">
        <w:rPr>
          <w:rFonts w:ascii="Arial" w:eastAsia="Arial" w:hAnsi="Arial" w:cs="Arial"/>
          <w:szCs w:val="22"/>
        </w:rPr>
        <w:t xml:space="preserve">as </w:t>
      </w:r>
      <w:r w:rsidRPr="00D75BDF">
        <w:rPr>
          <w:rFonts w:ascii="Arial" w:eastAsia="Arial" w:hAnsi="Arial" w:cs="Arial"/>
          <w:szCs w:val="22"/>
        </w:rPr>
        <w:t>well as in</w:t>
      </w:r>
      <w:r w:rsidR="005518B9" w:rsidRPr="00D75BDF">
        <w:rPr>
          <w:rFonts w:ascii="Arial" w:eastAsia="Arial" w:hAnsi="Arial" w:cs="Arial"/>
          <w:szCs w:val="22"/>
        </w:rPr>
        <w:t xml:space="preserve"> the development and validation of financing plans.</w:t>
      </w:r>
      <w:r w:rsidR="00D75BDF">
        <w:rPr>
          <w:rFonts w:ascii="Arial" w:hAnsi="Arial" w:cs="Arial"/>
          <w:b/>
          <w:szCs w:val="22"/>
        </w:rPr>
        <w:t xml:space="preserve"> </w:t>
      </w:r>
      <w:r w:rsidR="001D6608">
        <w:rPr>
          <w:rFonts w:ascii="Arial" w:eastAsia="Arial" w:hAnsi="Arial" w:cs="Arial"/>
          <w:szCs w:val="22"/>
        </w:rPr>
        <w:t>Civil society must have a role in any subsequent follow-up and monitoring processes, and should be given the space and resources to undertake an independent monitoring role, tracking the implementation of the GFF at national and global levels and holding</w:t>
      </w:r>
      <w:r w:rsidR="00CC4760">
        <w:rPr>
          <w:rFonts w:ascii="Arial" w:eastAsia="Arial" w:hAnsi="Arial" w:cs="Arial"/>
          <w:szCs w:val="22"/>
        </w:rPr>
        <w:t xml:space="preserve"> governments and the donor community</w:t>
      </w:r>
      <w:r w:rsidR="001D6608">
        <w:rPr>
          <w:rFonts w:ascii="Arial" w:eastAsia="Arial" w:hAnsi="Arial" w:cs="Arial"/>
          <w:szCs w:val="22"/>
        </w:rPr>
        <w:t xml:space="preserve"> to account when</w:t>
      </w:r>
      <w:r w:rsidR="00905673">
        <w:rPr>
          <w:rFonts w:ascii="Arial" w:eastAsia="Arial" w:hAnsi="Arial" w:cs="Arial"/>
          <w:szCs w:val="22"/>
        </w:rPr>
        <w:t xml:space="preserve"> they</w:t>
      </w:r>
      <w:r w:rsidR="001D6608">
        <w:rPr>
          <w:rFonts w:ascii="Arial" w:eastAsia="Arial" w:hAnsi="Arial" w:cs="Arial"/>
          <w:szCs w:val="22"/>
        </w:rPr>
        <w:t xml:space="preserve"> fail to deliver. </w:t>
      </w:r>
      <w:r w:rsidR="005F1C06">
        <w:rPr>
          <w:rFonts w:ascii="Arial" w:hAnsi="Arial" w:cs="Arial"/>
          <w:szCs w:val="22"/>
        </w:rPr>
        <w:t>Although the business plan mentions engagement with</w:t>
      </w:r>
      <w:r w:rsidR="005F1C06" w:rsidRPr="005F1C06">
        <w:rPr>
          <w:rFonts w:ascii="Arial" w:hAnsi="Arial" w:cs="Arial"/>
          <w:szCs w:val="22"/>
        </w:rPr>
        <w:t xml:space="preserve"> </w:t>
      </w:r>
      <w:r w:rsidR="005F1C06" w:rsidRPr="005F1C06">
        <w:rPr>
          <w:rFonts w:ascii="Arial" w:hAnsi="Arial" w:cs="Arial"/>
          <w:bCs/>
          <w:szCs w:val="22"/>
          <w:lang w:val="en-GB"/>
        </w:rPr>
        <w:t>civil society</w:t>
      </w:r>
      <w:r w:rsidR="005F1C06">
        <w:rPr>
          <w:rFonts w:ascii="Arial" w:hAnsi="Arial" w:cs="Arial"/>
          <w:szCs w:val="22"/>
          <w:lang w:val="en-GB"/>
        </w:rPr>
        <w:t xml:space="preserve">, </w:t>
      </w:r>
      <w:r w:rsidR="005F1C06" w:rsidRPr="005F1C06">
        <w:rPr>
          <w:rFonts w:ascii="Arial" w:hAnsi="Arial" w:cs="Arial"/>
          <w:szCs w:val="22"/>
          <w:lang w:val="en-GB"/>
        </w:rPr>
        <w:t xml:space="preserve">there is a </w:t>
      </w:r>
      <w:r w:rsidR="007346EB">
        <w:rPr>
          <w:rFonts w:ascii="Arial" w:hAnsi="Arial" w:cs="Arial"/>
          <w:szCs w:val="22"/>
          <w:lang w:val="en-GB"/>
        </w:rPr>
        <w:t xml:space="preserve">need for an operational model that </w:t>
      </w:r>
      <w:r w:rsidR="00D923A6">
        <w:rPr>
          <w:rFonts w:ascii="Arial" w:hAnsi="Arial" w:cs="Arial"/>
          <w:szCs w:val="22"/>
          <w:lang w:val="en-GB"/>
        </w:rPr>
        <w:t>formalizes</w:t>
      </w:r>
      <w:r w:rsidR="007346EB">
        <w:rPr>
          <w:rFonts w:ascii="Arial" w:hAnsi="Arial" w:cs="Arial"/>
          <w:szCs w:val="22"/>
          <w:lang w:val="en-GB"/>
        </w:rPr>
        <w:t xml:space="preserve"> </w:t>
      </w:r>
      <w:r w:rsidR="005F1C06">
        <w:rPr>
          <w:rFonts w:ascii="Arial" w:hAnsi="Arial" w:cs="Arial"/>
          <w:szCs w:val="22"/>
          <w:lang w:val="en-GB"/>
        </w:rPr>
        <w:t xml:space="preserve">the engagement </w:t>
      </w:r>
      <w:r w:rsidR="007346EB">
        <w:rPr>
          <w:rFonts w:ascii="Arial" w:hAnsi="Arial" w:cs="Arial"/>
          <w:szCs w:val="22"/>
          <w:lang w:val="en-GB"/>
        </w:rPr>
        <w:t xml:space="preserve">of civil society </w:t>
      </w:r>
      <w:r w:rsidR="005F1C06">
        <w:rPr>
          <w:rFonts w:ascii="Arial" w:hAnsi="Arial" w:cs="Arial"/>
          <w:szCs w:val="22"/>
          <w:lang w:val="en-GB"/>
        </w:rPr>
        <w:t>(including</w:t>
      </w:r>
      <w:r w:rsidR="007346EB">
        <w:rPr>
          <w:rFonts w:ascii="Arial" w:hAnsi="Arial" w:cs="Arial"/>
          <w:szCs w:val="22"/>
          <w:lang w:val="en-GB"/>
        </w:rPr>
        <w:t xml:space="preserve"> in</w:t>
      </w:r>
      <w:r w:rsidR="005F1C06">
        <w:rPr>
          <w:rFonts w:ascii="Arial" w:hAnsi="Arial" w:cs="Arial"/>
          <w:szCs w:val="22"/>
          <w:lang w:val="en-GB"/>
        </w:rPr>
        <w:t xml:space="preserve"> </w:t>
      </w:r>
      <w:r w:rsidR="005F1C06" w:rsidRPr="005F1C06">
        <w:rPr>
          <w:rFonts w:ascii="Arial" w:hAnsi="Arial" w:cs="Arial"/>
          <w:szCs w:val="22"/>
          <w:lang w:val="en-GB"/>
        </w:rPr>
        <w:t>planning, imp</w:t>
      </w:r>
      <w:r w:rsidR="005F1C06">
        <w:rPr>
          <w:rFonts w:ascii="Arial" w:hAnsi="Arial" w:cs="Arial"/>
          <w:szCs w:val="22"/>
          <w:lang w:val="en-GB"/>
        </w:rPr>
        <w:t>lementation and evaluation</w:t>
      </w:r>
      <w:r w:rsidR="00F1056D">
        <w:rPr>
          <w:rFonts w:ascii="Arial" w:hAnsi="Arial" w:cs="Arial"/>
          <w:szCs w:val="22"/>
          <w:lang w:val="en-GB"/>
        </w:rPr>
        <w:t xml:space="preserve"> at the national level</w:t>
      </w:r>
      <w:r w:rsidR="005F1C06">
        <w:rPr>
          <w:rFonts w:ascii="Arial" w:hAnsi="Arial" w:cs="Arial"/>
          <w:szCs w:val="22"/>
          <w:lang w:val="en-GB"/>
        </w:rPr>
        <w:t xml:space="preserve">) </w:t>
      </w:r>
      <w:r w:rsidR="007346EB">
        <w:rPr>
          <w:rFonts w:ascii="Arial" w:hAnsi="Arial" w:cs="Arial"/>
          <w:szCs w:val="22"/>
          <w:lang w:val="en-GB"/>
        </w:rPr>
        <w:t xml:space="preserve">and ensures </w:t>
      </w:r>
      <w:r w:rsidR="00F1056D">
        <w:rPr>
          <w:rFonts w:ascii="Arial" w:hAnsi="Arial" w:cs="Arial"/>
          <w:szCs w:val="22"/>
          <w:lang w:val="en-GB"/>
        </w:rPr>
        <w:t xml:space="preserve">this </w:t>
      </w:r>
      <w:r w:rsidR="007346EB">
        <w:rPr>
          <w:rFonts w:ascii="Arial" w:hAnsi="Arial" w:cs="Arial"/>
          <w:szCs w:val="22"/>
          <w:lang w:val="en-GB"/>
        </w:rPr>
        <w:t xml:space="preserve">is </w:t>
      </w:r>
      <w:r w:rsidR="005F1C06">
        <w:rPr>
          <w:rFonts w:ascii="Arial" w:hAnsi="Arial" w:cs="Arial"/>
          <w:szCs w:val="22"/>
          <w:lang w:val="en-GB"/>
        </w:rPr>
        <w:t xml:space="preserve">consistent and </w:t>
      </w:r>
      <w:r w:rsidR="005F1C06" w:rsidRPr="005F1C06">
        <w:rPr>
          <w:rFonts w:ascii="Arial" w:hAnsi="Arial" w:cs="Arial"/>
          <w:szCs w:val="22"/>
          <w:lang w:val="en-GB"/>
        </w:rPr>
        <w:t xml:space="preserve">meaningful. </w:t>
      </w:r>
    </w:p>
    <w:p w14:paraId="341ED530" w14:textId="20712958" w:rsidR="00B57313" w:rsidRPr="007346EB" w:rsidRDefault="00C66A5B" w:rsidP="00B41A97">
      <w:pPr>
        <w:spacing w:line="240" w:lineRule="auto"/>
        <w:rPr>
          <w:rFonts w:ascii="Arial" w:hAnsi="Arial" w:cs="Arial"/>
          <w:szCs w:val="22"/>
        </w:rPr>
      </w:pPr>
      <w:r w:rsidRPr="00951A25">
        <w:rPr>
          <w:rFonts w:ascii="Arial" w:hAnsi="Arial" w:cs="Arial"/>
          <w:szCs w:val="22"/>
        </w:rPr>
        <w:t>The business case states that the investment case is subject to a quality assurance processes that involves an independent review</w:t>
      </w:r>
      <w:r w:rsidRPr="00951A25">
        <w:rPr>
          <w:rFonts w:ascii="Arial" w:hAnsi="Arial" w:cs="Arial"/>
        </w:rPr>
        <w:t>, including</w:t>
      </w:r>
      <w:r w:rsidRPr="00951A25">
        <w:rPr>
          <w:rFonts w:ascii="Arial" w:hAnsi="Arial" w:cs="Arial"/>
          <w:szCs w:val="22"/>
        </w:rPr>
        <w:t xml:space="preserve"> international experts </w:t>
      </w:r>
      <w:r>
        <w:rPr>
          <w:rFonts w:ascii="Arial" w:hAnsi="Arial" w:cs="Arial"/>
        </w:rPr>
        <w:t>to ensure that</w:t>
      </w:r>
      <w:r w:rsidRPr="00951A25">
        <w:rPr>
          <w:rFonts w:ascii="Arial" w:hAnsi="Arial" w:cs="Arial"/>
          <w:szCs w:val="22"/>
        </w:rPr>
        <w:t xml:space="preserve"> issues</w:t>
      </w:r>
      <w:r>
        <w:rPr>
          <w:rFonts w:ascii="Arial" w:hAnsi="Arial" w:cs="Arial"/>
          <w:szCs w:val="22"/>
        </w:rPr>
        <w:t>,</w:t>
      </w:r>
      <w:r w:rsidRPr="00951A25">
        <w:rPr>
          <w:rFonts w:ascii="Arial" w:hAnsi="Arial" w:cs="Arial"/>
          <w:szCs w:val="22"/>
        </w:rPr>
        <w:t xml:space="preserve"> such as family planning</w:t>
      </w:r>
      <w:r>
        <w:rPr>
          <w:rFonts w:ascii="Arial" w:hAnsi="Arial" w:cs="Arial"/>
          <w:szCs w:val="22"/>
        </w:rPr>
        <w:t>,</w:t>
      </w:r>
      <w:r w:rsidRPr="00951A25">
        <w:rPr>
          <w:rFonts w:ascii="Arial" w:hAnsi="Arial" w:cs="Arial"/>
          <w:szCs w:val="22"/>
        </w:rPr>
        <w:t xml:space="preserve"> and populations</w:t>
      </w:r>
      <w:r>
        <w:rPr>
          <w:rFonts w:ascii="Arial" w:hAnsi="Arial" w:cs="Arial"/>
          <w:szCs w:val="22"/>
        </w:rPr>
        <w:t>,</w:t>
      </w:r>
      <w:r w:rsidRPr="00951A25">
        <w:rPr>
          <w:rFonts w:ascii="Arial" w:hAnsi="Arial" w:cs="Arial"/>
          <w:szCs w:val="22"/>
        </w:rPr>
        <w:t xml:space="preserve"> such as adolescents</w:t>
      </w:r>
      <w:r>
        <w:rPr>
          <w:rFonts w:ascii="Arial" w:hAnsi="Arial" w:cs="Arial"/>
          <w:szCs w:val="22"/>
        </w:rPr>
        <w:t>,</w:t>
      </w:r>
      <w:r w:rsidRPr="00951A25">
        <w:rPr>
          <w:rFonts w:ascii="Arial" w:hAnsi="Arial" w:cs="Arial"/>
          <w:szCs w:val="22"/>
        </w:rPr>
        <w:t xml:space="preserve"> that have historically seen underinvestment are </w:t>
      </w:r>
      <w:r>
        <w:rPr>
          <w:rFonts w:ascii="Arial" w:hAnsi="Arial" w:cs="Arial"/>
        </w:rPr>
        <w:t>included in investment cases</w:t>
      </w:r>
      <w:r w:rsidRPr="00951A25">
        <w:rPr>
          <w:rFonts w:ascii="Arial" w:hAnsi="Arial" w:cs="Arial"/>
          <w:szCs w:val="22"/>
        </w:rPr>
        <w:t>.</w:t>
      </w:r>
      <w:r w:rsidRPr="00951A25">
        <w:rPr>
          <w:rFonts w:ascii="Arial" w:hAnsi="Arial" w:cs="Arial"/>
        </w:rPr>
        <w:t xml:space="preserve"> </w:t>
      </w:r>
      <w:r>
        <w:rPr>
          <w:rFonts w:ascii="Arial" w:hAnsi="Arial" w:cs="Arial"/>
        </w:rPr>
        <w:t xml:space="preserve">Much hinges on this review </w:t>
      </w:r>
      <w:r w:rsidRPr="00951A25">
        <w:rPr>
          <w:rFonts w:ascii="Arial" w:hAnsi="Arial" w:cs="Arial"/>
        </w:rPr>
        <w:t>group and more detail is required to understand who will be on the review group and whether civil society</w:t>
      </w:r>
      <w:r w:rsidR="007346EB">
        <w:rPr>
          <w:rFonts w:ascii="Arial" w:hAnsi="Arial" w:cs="Arial"/>
        </w:rPr>
        <w:t>,</w:t>
      </w:r>
      <w:r w:rsidRPr="00951A25">
        <w:rPr>
          <w:rFonts w:ascii="Arial" w:hAnsi="Arial" w:cs="Arial"/>
        </w:rPr>
        <w:t xml:space="preserve"> in particular</w:t>
      </w:r>
      <w:r w:rsidR="007346EB">
        <w:rPr>
          <w:rFonts w:ascii="Arial" w:hAnsi="Arial" w:cs="Arial"/>
        </w:rPr>
        <w:t>,</w:t>
      </w:r>
      <w:r w:rsidRPr="00951A25">
        <w:rPr>
          <w:rFonts w:ascii="Arial" w:hAnsi="Arial" w:cs="Arial"/>
        </w:rPr>
        <w:t xml:space="preserve"> </w:t>
      </w:r>
      <w:r w:rsidR="00313A92" w:rsidRPr="00951A25">
        <w:rPr>
          <w:rFonts w:ascii="Arial" w:hAnsi="Arial" w:cs="Arial"/>
        </w:rPr>
        <w:t>will be included and supported financiall</w:t>
      </w:r>
      <w:r w:rsidR="00313A92">
        <w:rPr>
          <w:rFonts w:ascii="Arial" w:hAnsi="Arial" w:cs="Arial"/>
        </w:rPr>
        <w:t>y to participate in this group as part of its role in ensuring accountability.</w:t>
      </w:r>
      <w:r w:rsidR="0061583C">
        <w:rPr>
          <w:rFonts w:ascii="Arial" w:hAnsi="Arial" w:cs="Arial"/>
        </w:rPr>
        <w:t xml:space="preserve"> </w:t>
      </w:r>
      <w:r w:rsidR="00726A98">
        <w:rPr>
          <w:rFonts w:ascii="Arial" w:hAnsi="Arial" w:cs="Arial"/>
          <w:szCs w:val="22"/>
        </w:rPr>
        <w:t>The</w:t>
      </w:r>
      <w:r w:rsidR="0061583C">
        <w:rPr>
          <w:rFonts w:ascii="Arial" w:hAnsi="Arial" w:cs="Arial"/>
          <w:szCs w:val="22"/>
        </w:rPr>
        <w:t xml:space="preserve"> GFF business plan</w:t>
      </w:r>
      <w:r w:rsidR="0061583C" w:rsidRPr="0061583C">
        <w:rPr>
          <w:rFonts w:ascii="Arial" w:hAnsi="Arial" w:cs="Arial"/>
          <w:szCs w:val="22"/>
        </w:rPr>
        <w:t xml:space="preserve"> acknowledge</w:t>
      </w:r>
      <w:r w:rsidR="0061583C">
        <w:rPr>
          <w:rFonts w:ascii="Arial" w:hAnsi="Arial" w:cs="Arial"/>
          <w:szCs w:val="22"/>
        </w:rPr>
        <w:t>s</w:t>
      </w:r>
      <w:r w:rsidR="0061583C" w:rsidRPr="0061583C">
        <w:rPr>
          <w:rFonts w:ascii="Arial" w:hAnsi="Arial" w:cs="Arial"/>
          <w:szCs w:val="22"/>
        </w:rPr>
        <w:t xml:space="preserve"> that</w:t>
      </w:r>
      <w:r w:rsidR="0061583C">
        <w:rPr>
          <w:rFonts w:ascii="Arial" w:hAnsi="Arial" w:cs="Arial"/>
          <w:szCs w:val="22"/>
        </w:rPr>
        <w:t xml:space="preserve"> despite evidence of their cost-effectiveness,</w:t>
      </w:r>
      <w:r w:rsidR="0061583C" w:rsidRPr="0061583C">
        <w:rPr>
          <w:rFonts w:ascii="Arial" w:hAnsi="Arial" w:cs="Arial"/>
          <w:szCs w:val="22"/>
        </w:rPr>
        <w:t xml:space="preserve"> </w:t>
      </w:r>
      <w:r w:rsidR="0061583C">
        <w:rPr>
          <w:rFonts w:ascii="Arial" w:hAnsi="Arial" w:cs="Arial"/>
          <w:szCs w:val="22"/>
        </w:rPr>
        <w:t>reproductive health</w:t>
      </w:r>
      <w:r w:rsidR="0061583C" w:rsidRPr="0061583C">
        <w:rPr>
          <w:rFonts w:ascii="Arial" w:hAnsi="Arial" w:cs="Arial"/>
          <w:szCs w:val="22"/>
        </w:rPr>
        <w:t xml:space="preserve"> and groups such </w:t>
      </w:r>
      <w:r w:rsidR="0061583C">
        <w:rPr>
          <w:rFonts w:ascii="Arial" w:hAnsi="Arial" w:cs="Arial"/>
          <w:szCs w:val="22"/>
        </w:rPr>
        <w:t xml:space="preserve">as adolescents </w:t>
      </w:r>
      <w:r w:rsidR="0061583C" w:rsidRPr="0061583C">
        <w:rPr>
          <w:rFonts w:ascii="Arial" w:hAnsi="Arial" w:cs="Arial"/>
          <w:szCs w:val="22"/>
        </w:rPr>
        <w:t>have been neglecte</w:t>
      </w:r>
      <w:r w:rsidR="00726A98">
        <w:rPr>
          <w:rFonts w:ascii="Arial" w:hAnsi="Arial" w:cs="Arial"/>
          <w:szCs w:val="22"/>
        </w:rPr>
        <w:t xml:space="preserve">d in past investments in health. </w:t>
      </w:r>
      <w:r w:rsidR="0061583C" w:rsidRPr="0061583C">
        <w:rPr>
          <w:rFonts w:ascii="Arial" w:hAnsi="Arial" w:cs="Arial"/>
          <w:szCs w:val="22"/>
        </w:rPr>
        <w:t xml:space="preserve"> </w:t>
      </w:r>
      <w:r w:rsidR="0061583C">
        <w:rPr>
          <w:rFonts w:ascii="Arial" w:hAnsi="Arial" w:cs="Arial"/>
          <w:szCs w:val="22"/>
        </w:rPr>
        <w:t>IPPF recommends that there are</w:t>
      </w:r>
      <w:r w:rsidR="0061583C" w:rsidRPr="0061583C">
        <w:rPr>
          <w:rFonts w:ascii="Arial" w:hAnsi="Arial" w:cs="Arial"/>
          <w:szCs w:val="22"/>
        </w:rPr>
        <w:t xml:space="preserve"> mechanisms to ensure their inclusion in </w:t>
      </w:r>
      <w:r w:rsidR="0061583C">
        <w:rPr>
          <w:rFonts w:ascii="Arial" w:hAnsi="Arial" w:cs="Arial"/>
          <w:szCs w:val="22"/>
        </w:rPr>
        <w:t xml:space="preserve">national </w:t>
      </w:r>
      <w:r w:rsidR="0061583C" w:rsidRPr="0061583C">
        <w:rPr>
          <w:rFonts w:ascii="Arial" w:hAnsi="Arial" w:cs="Arial"/>
          <w:szCs w:val="22"/>
        </w:rPr>
        <w:t>investment plans.</w:t>
      </w:r>
    </w:p>
    <w:p w14:paraId="2587C44A" w14:textId="0FC85622" w:rsidR="00D44330" w:rsidRPr="008B29D8" w:rsidRDefault="00313A92" w:rsidP="007346EB">
      <w:pPr>
        <w:spacing w:after="0" w:line="240" w:lineRule="auto"/>
        <w:contextualSpacing/>
        <w:jc w:val="both"/>
        <w:rPr>
          <w:rFonts w:ascii="Arial" w:hAnsi="Arial" w:cs="Arial"/>
          <w:b/>
          <w:szCs w:val="22"/>
        </w:rPr>
      </w:pPr>
      <w:r w:rsidRPr="00712B95">
        <w:rPr>
          <w:rFonts w:ascii="Arial" w:hAnsi="Arial" w:cs="Arial"/>
          <w:b/>
          <w:noProof/>
          <w:szCs w:val="22"/>
        </w:rPr>
        <mc:AlternateContent>
          <mc:Choice Requires="wps">
            <w:drawing>
              <wp:anchor distT="0" distB="0" distL="114300" distR="114300" simplePos="0" relativeHeight="251663360" behindDoc="0" locked="0" layoutInCell="1" allowOverlap="1" wp14:anchorId="12ABCCC4" wp14:editId="29A96732">
                <wp:simplePos x="0" y="0"/>
                <wp:positionH relativeFrom="column">
                  <wp:align>center</wp:align>
                </wp:positionH>
                <wp:positionV relativeFrom="paragraph">
                  <wp:posOffset>0</wp:posOffset>
                </wp:positionV>
                <wp:extent cx="6629400" cy="4076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76700"/>
                        </a:xfrm>
                        <a:prstGeom prst="rect">
                          <a:avLst/>
                        </a:prstGeom>
                        <a:solidFill>
                          <a:srgbClr val="FFFFFF"/>
                        </a:solidFill>
                        <a:ln w="9525">
                          <a:solidFill>
                            <a:srgbClr val="000000"/>
                          </a:solidFill>
                          <a:miter lim="800000"/>
                          <a:headEnd/>
                          <a:tailEnd/>
                        </a:ln>
                      </wps:spPr>
                      <wps:txbx>
                        <w:txbxContent>
                          <w:p w14:paraId="2876BC46" w14:textId="6FDF25F6" w:rsidR="00712B95" w:rsidRDefault="00712B95" w:rsidP="00712B95">
                            <w:pPr>
                              <w:spacing w:line="240" w:lineRule="auto"/>
                              <w:rPr>
                                <w:rFonts w:ascii="Arial" w:hAnsi="Arial" w:cs="Arial"/>
                                <w:b/>
                                <w:sz w:val="24"/>
                                <w:szCs w:val="24"/>
                              </w:rPr>
                            </w:pPr>
                            <w:r w:rsidRPr="006645B2">
                              <w:rPr>
                                <w:rFonts w:ascii="Arial" w:hAnsi="Arial" w:cs="Arial"/>
                                <w:b/>
                                <w:sz w:val="24"/>
                                <w:szCs w:val="24"/>
                              </w:rPr>
                              <w:t>IPPF’s recommendations</w:t>
                            </w:r>
                          </w:p>
                          <w:p w14:paraId="4646C54E" w14:textId="696DA2A2" w:rsidR="00712B95" w:rsidRPr="00712B95"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szCs w:val="22"/>
                              </w:rPr>
                              <w:t xml:space="preserve">IPPF is concerned about the </w:t>
                            </w:r>
                            <w:r w:rsidR="00E813E9">
                              <w:rPr>
                                <w:rFonts w:ascii="Arial" w:hAnsi="Arial" w:cs="Arial"/>
                                <w:szCs w:val="22"/>
                              </w:rPr>
                              <w:t xml:space="preserve">emphasis to increase domestic financing </w:t>
                            </w:r>
                            <w:r w:rsidRPr="00712B95">
                              <w:rPr>
                                <w:rFonts w:ascii="Arial" w:hAnsi="Arial" w:cs="Arial"/>
                                <w:szCs w:val="22"/>
                              </w:rPr>
                              <w:t>th</w:t>
                            </w:r>
                            <w:r w:rsidR="00CE4F76">
                              <w:rPr>
                                <w:rFonts w:ascii="Arial" w:hAnsi="Arial" w:cs="Arial"/>
                                <w:szCs w:val="22"/>
                              </w:rPr>
                              <w:t>rough th</w:t>
                            </w:r>
                            <w:r w:rsidRPr="00712B95">
                              <w:rPr>
                                <w:rFonts w:ascii="Arial" w:hAnsi="Arial" w:cs="Arial"/>
                                <w:szCs w:val="22"/>
                              </w:rPr>
                              <w:t>e GFF Trust Fund, which explicitly links grant to loan funding. This could have negative implications for countries as they incur further cycles of indebtedness, and does not build a sustainable model of financing for SRHR.</w:t>
                            </w:r>
                            <w:r w:rsidRPr="00712B95">
                              <w:rPr>
                                <w:rFonts w:ascii="Arial" w:hAnsi="Arial" w:cs="Arial"/>
                                <w:szCs w:val="22"/>
                              </w:rPr>
                              <w:br/>
                            </w:r>
                          </w:p>
                          <w:p w14:paraId="7E27D7FC" w14:textId="43A4258D" w:rsidR="00712B95" w:rsidRPr="00293F2E" w:rsidRDefault="00712B95" w:rsidP="00712B95">
                            <w:pPr>
                              <w:pStyle w:val="ListParagraph"/>
                              <w:numPr>
                                <w:ilvl w:val="0"/>
                                <w:numId w:val="38"/>
                              </w:numPr>
                              <w:spacing w:line="240" w:lineRule="auto"/>
                              <w:rPr>
                                <w:rFonts w:ascii="Arial" w:eastAsia="Arial" w:hAnsi="Arial" w:cs="Arial"/>
                                <w:szCs w:val="22"/>
                              </w:rPr>
                            </w:pPr>
                            <w:r w:rsidRPr="00293F2E">
                              <w:rPr>
                                <w:rFonts w:ascii="Arial" w:hAnsi="Arial" w:cs="Arial"/>
                              </w:rPr>
                              <w:t xml:space="preserve">IPPF recommends that the GFF’s emphasis on domestic resourcing does not </w:t>
                            </w:r>
                            <w:r w:rsidR="00293F2E" w:rsidRPr="00293F2E">
                              <w:rPr>
                                <w:rFonts w:ascii="Arial" w:hAnsi="Arial" w:cs="Arial"/>
                              </w:rPr>
                              <w:t xml:space="preserve">inadvertently </w:t>
                            </w:r>
                            <w:r w:rsidRPr="00293F2E">
                              <w:rPr>
                                <w:rFonts w:ascii="Arial" w:hAnsi="Arial" w:cs="Arial"/>
                              </w:rPr>
                              <w:t>increase private out-of-pocket financing for reproductive health services and supplies</w:t>
                            </w:r>
                            <w:r w:rsidR="00293F2E" w:rsidRPr="00293F2E">
                              <w:rPr>
                                <w:rFonts w:ascii="Arial" w:hAnsi="Arial" w:cs="Arial"/>
                              </w:rPr>
                              <w:t xml:space="preserve">, </w:t>
                            </w:r>
                            <w:r w:rsidRPr="00293F2E">
                              <w:rPr>
                                <w:rFonts w:ascii="Arial" w:hAnsi="Arial" w:cs="Arial"/>
                              </w:rPr>
                              <w:t>particularly for the poorest and most vulnerable populations</w:t>
                            </w:r>
                            <w:r w:rsidR="00293F2E" w:rsidRPr="00293F2E">
                              <w:rPr>
                                <w:rFonts w:ascii="Arial" w:hAnsi="Arial" w:cs="Arial"/>
                              </w:rPr>
                              <w:t>.</w:t>
                            </w:r>
                            <w:r w:rsidRPr="00293F2E">
                              <w:rPr>
                                <w:rFonts w:ascii="Arial" w:hAnsi="Arial" w:cs="Arial"/>
                              </w:rPr>
                              <w:t xml:space="preserve"> </w:t>
                            </w:r>
                            <w:r w:rsidRPr="00293F2E">
                              <w:rPr>
                                <w:rFonts w:ascii="Arial" w:hAnsi="Arial" w:cs="Arial"/>
                              </w:rPr>
                              <w:br/>
                            </w:r>
                          </w:p>
                          <w:p w14:paraId="0E2AF60D" w14:textId="77777777" w:rsidR="00712B95" w:rsidRPr="00712B95"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szCs w:val="22"/>
                              </w:rPr>
                              <w:t xml:space="preserve">IPPF recommends that in order to assure that loan/debt financing does not undermine sustainable development, loans should be considered generally inappropriate for financing of recurring operating (current) costs, except in clearly specified circumstances. Rather, IPPF recommends that mechanisms within the GFF should make available sufficient grant assistance to ensure that access to essential reproductive health information, services and supplies is ensured without loan/debt financing of annually recurring operating costs. </w:t>
                            </w:r>
                            <w:r w:rsidRPr="00712B95">
                              <w:rPr>
                                <w:rFonts w:ascii="Arial" w:hAnsi="Arial" w:cs="Arial"/>
                                <w:szCs w:val="22"/>
                              </w:rPr>
                              <w:br/>
                            </w:r>
                          </w:p>
                          <w:p w14:paraId="212E021A" w14:textId="4BFDF1B3" w:rsidR="00712B95" w:rsidRPr="00E813E9"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szCs w:val="22"/>
                              </w:rPr>
                              <w:t xml:space="preserve">IPPF recommends that the GFF should cover financing for targets relating to SRHR under SDG 3 (Ensure healthy lives and promote well-being for all at all ages) </w:t>
                            </w:r>
                            <w:r w:rsidRPr="00712B95">
                              <w:rPr>
                                <w:rFonts w:ascii="Arial" w:hAnsi="Arial" w:cs="Arial"/>
                                <w:szCs w:val="22"/>
                                <w:u w:val="single"/>
                              </w:rPr>
                              <w:t>and</w:t>
                            </w:r>
                            <w:r w:rsidRPr="00712B95">
                              <w:rPr>
                                <w:rFonts w:ascii="Arial" w:hAnsi="Arial" w:cs="Arial"/>
                                <w:szCs w:val="22"/>
                              </w:rPr>
                              <w:t xml:space="preserve"> SDG 5 (‘Achieve gender equality and empower all women and girls’).</w:t>
                            </w:r>
                          </w:p>
                          <w:p w14:paraId="682E30DF" w14:textId="77777777" w:rsidR="00E813E9" w:rsidRPr="00E813E9" w:rsidRDefault="00E813E9" w:rsidP="00E813E9">
                            <w:pPr>
                              <w:pStyle w:val="ListParagraph"/>
                              <w:spacing w:line="240" w:lineRule="auto"/>
                              <w:rPr>
                                <w:rFonts w:ascii="Arial" w:eastAsia="Arial" w:hAnsi="Arial" w:cs="Arial"/>
                                <w:szCs w:val="22"/>
                              </w:rPr>
                            </w:pPr>
                          </w:p>
                          <w:p w14:paraId="1A3A2EDB" w14:textId="77777777" w:rsidR="0061583C"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szCs w:val="22"/>
                              </w:rPr>
                              <w:t xml:space="preserve">IPPF recommends that </w:t>
                            </w:r>
                            <w:r w:rsidRPr="00712B95">
                              <w:rPr>
                                <w:rFonts w:ascii="Arial" w:eastAsia="Arial" w:hAnsi="Arial" w:cs="Arial"/>
                                <w:szCs w:val="22"/>
                              </w:rPr>
                              <w:t xml:space="preserve">civil society must </w:t>
                            </w:r>
                            <w:r w:rsidR="00F1056D">
                              <w:rPr>
                                <w:rFonts w:ascii="Arial" w:eastAsia="Arial" w:hAnsi="Arial" w:cs="Arial"/>
                                <w:szCs w:val="22"/>
                              </w:rPr>
                              <w:t>have a formalized role</w:t>
                            </w:r>
                            <w:r w:rsidR="00F1056D" w:rsidRPr="00712B95">
                              <w:rPr>
                                <w:rFonts w:ascii="Arial" w:eastAsia="Arial" w:hAnsi="Arial" w:cs="Arial"/>
                                <w:szCs w:val="22"/>
                              </w:rPr>
                              <w:t xml:space="preserve"> </w:t>
                            </w:r>
                            <w:r w:rsidRPr="00712B95">
                              <w:rPr>
                                <w:rFonts w:ascii="Arial" w:eastAsia="Arial" w:hAnsi="Arial" w:cs="Arial"/>
                                <w:szCs w:val="22"/>
                              </w:rPr>
                              <w:t xml:space="preserve">in the creation of national plans and financing maps, and have a strong role in ensuring accountability. </w:t>
                            </w:r>
                          </w:p>
                          <w:p w14:paraId="1C1EA13E" w14:textId="77777777" w:rsidR="0061583C" w:rsidRPr="0061583C" w:rsidRDefault="0061583C" w:rsidP="0061583C">
                            <w:pPr>
                              <w:pStyle w:val="ListParagraph"/>
                              <w:rPr>
                                <w:rFonts w:ascii="Arial" w:hAnsi="Arial" w:cs="Arial"/>
                                <w:b/>
                                <w:szCs w:val="22"/>
                              </w:rPr>
                            </w:pPr>
                          </w:p>
                          <w:p w14:paraId="6878F60B" w14:textId="58BE1222" w:rsidR="00712B95" w:rsidRPr="00712B95"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b/>
                                <w:szCs w:val="22"/>
                              </w:rPr>
                              <w:br/>
                            </w:r>
                          </w:p>
                          <w:p w14:paraId="069B302E" w14:textId="77777777" w:rsidR="00712B95" w:rsidRPr="00913505" w:rsidRDefault="00712B95" w:rsidP="00712B95">
                            <w:pPr>
                              <w:pStyle w:val="ListParagraph"/>
                              <w:spacing w:line="240" w:lineRule="auto"/>
                              <w:rPr>
                                <w:rFonts w:ascii="Arial" w:hAnsi="Arial" w:cs="Arial"/>
                                <w:b/>
                                <w:szCs w:val="22"/>
                              </w:rPr>
                            </w:pPr>
                          </w:p>
                          <w:p w14:paraId="3BD3CEC6" w14:textId="666FF38C" w:rsidR="00712B95" w:rsidRDefault="00712B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BCCC4" id="_x0000_t202" coordsize="21600,21600" o:spt="202" path="m,l,21600r21600,l21600,xe">
                <v:stroke joinstyle="miter"/>
                <v:path gradientshapeok="t" o:connecttype="rect"/>
              </v:shapetype>
              <v:shape id="Text Box 2" o:spid="_x0000_s1026" type="#_x0000_t202" style="position:absolute;left:0;text-align:left;margin-left:0;margin-top:0;width:522pt;height:321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">
                <v:textbox>
                  <w:txbxContent>
                    <w:p w14:paraId="2876BC46" w14:textId="6FDF25F6" w:rsidR="00712B95" w:rsidRDefault="00712B95" w:rsidP="00712B95">
                      <w:pPr>
                        <w:spacing w:line="240" w:lineRule="auto"/>
                        <w:rPr>
                          <w:rFonts w:ascii="Arial" w:hAnsi="Arial" w:cs="Arial"/>
                          <w:b/>
                          <w:sz w:val="24"/>
                          <w:szCs w:val="24"/>
                        </w:rPr>
                      </w:pPr>
                      <w:r w:rsidRPr="006645B2">
                        <w:rPr>
                          <w:rFonts w:ascii="Arial" w:hAnsi="Arial" w:cs="Arial"/>
                          <w:b/>
                          <w:sz w:val="24"/>
                          <w:szCs w:val="24"/>
                        </w:rPr>
                        <w:t>IPPF’s recommendations</w:t>
                      </w:r>
                    </w:p>
                    <w:p w14:paraId="4646C54E" w14:textId="696DA2A2" w:rsidR="00712B95" w:rsidRPr="00712B95"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szCs w:val="22"/>
                        </w:rPr>
                        <w:t xml:space="preserve">IPPF is concerned about the </w:t>
                      </w:r>
                      <w:r w:rsidR="00E813E9">
                        <w:rPr>
                          <w:rFonts w:ascii="Arial" w:hAnsi="Arial" w:cs="Arial"/>
                          <w:szCs w:val="22"/>
                        </w:rPr>
                        <w:t xml:space="preserve">emphasis to increase domestic financing </w:t>
                      </w:r>
                      <w:r w:rsidRPr="00712B95">
                        <w:rPr>
                          <w:rFonts w:ascii="Arial" w:hAnsi="Arial" w:cs="Arial"/>
                          <w:szCs w:val="22"/>
                        </w:rPr>
                        <w:t>th</w:t>
                      </w:r>
                      <w:r w:rsidR="00CE4F76">
                        <w:rPr>
                          <w:rFonts w:ascii="Arial" w:hAnsi="Arial" w:cs="Arial"/>
                          <w:szCs w:val="22"/>
                        </w:rPr>
                        <w:t>rough th</w:t>
                      </w:r>
                      <w:r w:rsidRPr="00712B95">
                        <w:rPr>
                          <w:rFonts w:ascii="Arial" w:hAnsi="Arial" w:cs="Arial"/>
                          <w:szCs w:val="22"/>
                        </w:rPr>
                        <w:t>e GFF Trust Fund, which explicitly links grant to loan funding. This could have negative implications for countries as they incur further cycles of indebtedness, and does not build a sustainable model of financing for SRHR.</w:t>
                      </w:r>
                      <w:r w:rsidRPr="00712B95">
                        <w:rPr>
                          <w:rFonts w:ascii="Arial" w:hAnsi="Arial" w:cs="Arial"/>
                          <w:szCs w:val="22"/>
                        </w:rPr>
                        <w:br/>
                      </w:r>
                    </w:p>
                    <w:p w14:paraId="7E27D7FC" w14:textId="43A4258D" w:rsidR="00712B95" w:rsidRPr="00293F2E" w:rsidRDefault="00712B95" w:rsidP="00712B95">
                      <w:pPr>
                        <w:pStyle w:val="ListParagraph"/>
                        <w:numPr>
                          <w:ilvl w:val="0"/>
                          <w:numId w:val="38"/>
                        </w:numPr>
                        <w:spacing w:line="240" w:lineRule="auto"/>
                        <w:rPr>
                          <w:rFonts w:ascii="Arial" w:eastAsia="Arial" w:hAnsi="Arial" w:cs="Arial"/>
                          <w:szCs w:val="22"/>
                        </w:rPr>
                      </w:pPr>
                      <w:r w:rsidRPr="00293F2E">
                        <w:rPr>
                          <w:rFonts w:ascii="Arial" w:hAnsi="Arial" w:cs="Arial"/>
                        </w:rPr>
                        <w:t xml:space="preserve">IPPF recommends that the GFF’s emphasis on domestic resourcing does not </w:t>
                      </w:r>
                      <w:r w:rsidR="00293F2E" w:rsidRPr="00293F2E">
                        <w:rPr>
                          <w:rFonts w:ascii="Arial" w:hAnsi="Arial" w:cs="Arial"/>
                        </w:rPr>
                        <w:t xml:space="preserve">inadvertently </w:t>
                      </w:r>
                      <w:r w:rsidRPr="00293F2E">
                        <w:rPr>
                          <w:rFonts w:ascii="Arial" w:hAnsi="Arial" w:cs="Arial"/>
                        </w:rPr>
                        <w:t>increase private out-of-pocket financing for reproductive health services and supplies</w:t>
                      </w:r>
                      <w:r w:rsidR="00293F2E" w:rsidRPr="00293F2E">
                        <w:rPr>
                          <w:rFonts w:ascii="Arial" w:hAnsi="Arial" w:cs="Arial"/>
                        </w:rPr>
                        <w:t xml:space="preserve">, </w:t>
                      </w:r>
                      <w:r w:rsidRPr="00293F2E">
                        <w:rPr>
                          <w:rFonts w:ascii="Arial" w:hAnsi="Arial" w:cs="Arial"/>
                        </w:rPr>
                        <w:t>particularly for the poorest and most vulnerable populations</w:t>
                      </w:r>
                      <w:r w:rsidR="00293F2E" w:rsidRPr="00293F2E">
                        <w:rPr>
                          <w:rFonts w:ascii="Arial" w:hAnsi="Arial" w:cs="Arial"/>
                        </w:rPr>
                        <w:t>.</w:t>
                      </w:r>
                      <w:r w:rsidRPr="00293F2E">
                        <w:rPr>
                          <w:rFonts w:ascii="Arial" w:hAnsi="Arial" w:cs="Arial"/>
                        </w:rPr>
                        <w:t xml:space="preserve"> </w:t>
                      </w:r>
                      <w:r w:rsidRPr="00293F2E">
                        <w:rPr>
                          <w:rFonts w:ascii="Arial" w:hAnsi="Arial" w:cs="Arial"/>
                        </w:rPr>
                        <w:br/>
                      </w:r>
                    </w:p>
                    <w:p w14:paraId="0E2AF60D" w14:textId="77777777" w:rsidR="00712B95" w:rsidRPr="00712B95"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szCs w:val="22"/>
                        </w:rPr>
                        <w:t xml:space="preserve">IPPF recommends that in order to assure that loan/debt financing does not undermine sustainable development, loans should be considered generally inappropriate for financing of recurring operating (current) costs, except in clearly specified circumstances. Rather, IPPF recommends that mechanisms within the GFF should make available sufficient grant assistance to ensure that access to essential reproductive health information, services and supplies is ensured without loan/debt financing of annually recurring operating costs. </w:t>
                      </w:r>
                      <w:r w:rsidRPr="00712B95">
                        <w:rPr>
                          <w:rFonts w:ascii="Arial" w:hAnsi="Arial" w:cs="Arial"/>
                          <w:szCs w:val="22"/>
                        </w:rPr>
                        <w:br/>
                      </w:r>
                    </w:p>
                    <w:p w14:paraId="212E021A" w14:textId="4BFDF1B3" w:rsidR="00712B95" w:rsidRPr="00E813E9"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szCs w:val="22"/>
                        </w:rPr>
                        <w:t xml:space="preserve">IPPF recommends that the GFF should cover financing for targets relating to SRHR under SDG 3 (Ensure healthy lives and promote well-being for all at all ages) </w:t>
                      </w:r>
                      <w:r w:rsidRPr="00712B95">
                        <w:rPr>
                          <w:rFonts w:ascii="Arial" w:hAnsi="Arial" w:cs="Arial"/>
                          <w:szCs w:val="22"/>
                          <w:u w:val="single"/>
                        </w:rPr>
                        <w:t>and</w:t>
                      </w:r>
                      <w:r w:rsidRPr="00712B95">
                        <w:rPr>
                          <w:rFonts w:ascii="Arial" w:hAnsi="Arial" w:cs="Arial"/>
                          <w:szCs w:val="22"/>
                        </w:rPr>
                        <w:t xml:space="preserve"> SDG 5 (‘Achieve gender equality and empower all women and girls’).</w:t>
                      </w:r>
                    </w:p>
                    <w:p w14:paraId="682E30DF" w14:textId="77777777" w:rsidR="00E813E9" w:rsidRPr="00E813E9" w:rsidRDefault="00E813E9" w:rsidP="00E813E9">
                      <w:pPr>
                        <w:pStyle w:val="ListParagraph"/>
                        <w:spacing w:line="240" w:lineRule="auto"/>
                        <w:rPr>
                          <w:rFonts w:ascii="Arial" w:eastAsia="Arial" w:hAnsi="Arial" w:cs="Arial"/>
                          <w:szCs w:val="22"/>
                        </w:rPr>
                      </w:pPr>
                    </w:p>
                    <w:p w14:paraId="1A3A2EDB" w14:textId="77777777" w:rsidR="0061583C"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szCs w:val="22"/>
                        </w:rPr>
                        <w:t xml:space="preserve">IPPF recommends that </w:t>
                      </w:r>
                      <w:r w:rsidRPr="00712B95">
                        <w:rPr>
                          <w:rFonts w:ascii="Arial" w:eastAsia="Arial" w:hAnsi="Arial" w:cs="Arial"/>
                          <w:szCs w:val="22"/>
                        </w:rPr>
                        <w:t xml:space="preserve">civil society must </w:t>
                      </w:r>
                      <w:r w:rsidR="00F1056D">
                        <w:rPr>
                          <w:rFonts w:ascii="Arial" w:eastAsia="Arial" w:hAnsi="Arial" w:cs="Arial"/>
                          <w:szCs w:val="22"/>
                        </w:rPr>
                        <w:t>have a formalized role</w:t>
                      </w:r>
                      <w:r w:rsidR="00F1056D" w:rsidRPr="00712B95">
                        <w:rPr>
                          <w:rFonts w:ascii="Arial" w:eastAsia="Arial" w:hAnsi="Arial" w:cs="Arial"/>
                          <w:szCs w:val="22"/>
                        </w:rPr>
                        <w:t xml:space="preserve"> </w:t>
                      </w:r>
                      <w:r w:rsidRPr="00712B95">
                        <w:rPr>
                          <w:rFonts w:ascii="Arial" w:eastAsia="Arial" w:hAnsi="Arial" w:cs="Arial"/>
                          <w:szCs w:val="22"/>
                        </w:rPr>
                        <w:t xml:space="preserve">in the creation of national plans and financing maps, and have a strong role in ensuring accountability. </w:t>
                      </w:r>
                    </w:p>
                    <w:p w14:paraId="1C1EA13E" w14:textId="77777777" w:rsidR="0061583C" w:rsidRPr="0061583C" w:rsidRDefault="0061583C" w:rsidP="0061583C">
                      <w:pPr>
                        <w:pStyle w:val="ListParagraph"/>
                        <w:rPr>
                          <w:rFonts w:ascii="Arial" w:hAnsi="Arial" w:cs="Arial"/>
                          <w:b/>
                          <w:szCs w:val="22"/>
                        </w:rPr>
                      </w:pPr>
                    </w:p>
                    <w:p w14:paraId="6878F60B" w14:textId="58BE1222" w:rsidR="00712B95" w:rsidRPr="00712B95" w:rsidRDefault="00712B95" w:rsidP="00712B95">
                      <w:pPr>
                        <w:pStyle w:val="ListParagraph"/>
                        <w:numPr>
                          <w:ilvl w:val="0"/>
                          <w:numId w:val="38"/>
                        </w:numPr>
                        <w:spacing w:line="240" w:lineRule="auto"/>
                        <w:rPr>
                          <w:rFonts w:ascii="Arial" w:eastAsia="Arial" w:hAnsi="Arial" w:cs="Arial"/>
                          <w:szCs w:val="22"/>
                        </w:rPr>
                      </w:pPr>
                      <w:r w:rsidRPr="00712B95">
                        <w:rPr>
                          <w:rFonts w:ascii="Arial" w:hAnsi="Arial" w:cs="Arial"/>
                          <w:b/>
                          <w:szCs w:val="22"/>
                        </w:rPr>
                        <w:br/>
                      </w:r>
                    </w:p>
                    <w:p w14:paraId="069B302E" w14:textId="77777777" w:rsidR="00712B95" w:rsidRPr="00913505" w:rsidRDefault="00712B95" w:rsidP="00712B95">
                      <w:pPr>
                        <w:pStyle w:val="ListParagraph"/>
                        <w:spacing w:line="240" w:lineRule="auto"/>
                        <w:rPr>
                          <w:rFonts w:ascii="Arial" w:hAnsi="Arial" w:cs="Arial"/>
                          <w:b/>
                          <w:szCs w:val="22"/>
                        </w:rPr>
                      </w:pPr>
                    </w:p>
                    <w:p w14:paraId="3BD3CEC6" w14:textId="666FF38C" w:rsidR="00712B95" w:rsidRDefault="00712B95"/>
                  </w:txbxContent>
                </v:textbox>
              </v:shape>
            </w:pict>
          </mc:Fallback>
        </mc:AlternateContent>
      </w:r>
    </w:p>
    <w:p w14:paraId="5A3B7085" w14:textId="77777777" w:rsidR="00712B95" w:rsidRDefault="00712B95" w:rsidP="007346EB">
      <w:pPr>
        <w:spacing w:line="240" w:lineRule="auto"/>
        <w:rPr>
          <w:rFonts w:ascii="Arial" w:hAnsi="Arial" w:cs="Arial"/>
          <w:b/>
          <w:szCs w:val="22"/>
        </w:rPr>
      </w:pPr>
    </w:p>
    <w:p w14:paraId="3558747C" w14:textId="77777777" w:rsidR="00712B95" w:rsidRDefault="00712B95" w:rsidP="007346EB">
      <w:pPr>
        <w:spacing w:line="240" w:lineRule="auto"/>
        <w:rPr>
          <w:rFonts w:ascii="Arial" w:hAnsi="Arial" w:cs="Arial"/>
          <w:b/>
          <w:szCs w:val="22"/>
        </w:rPr>
      </w:pPr>
    </w:p>
    <w:p w14:paraId="1D798E8B" w14:textId="77777777" w:rsidR="00712B95" w:rsidRDefault="00712B95" w:rsidP="007346EB">
      <w:pPr>
        <w:spacing w:line="240" w:lineRule="auto"/>
        <w:rPr>
          <w:rFonts w:ascii="Arial" w:hAnsi="Arial" w:cs="Arial"/>
          <w:b/>
          <w:szCs w:val="22"/>
        </w:rPr>
      </w:pPr>
    </w:p>
    <w:p w14:paraId="5B5E27A3" w14:textId="77777777" w:rsidR="00712B95" w:rsidRDefault="00712B95" w:rsidP="007346EB">
      <w:pPr>
        <w:spacing w:line="240" w:lineRule="auto"/>
        <w:rPr>
          <w:rFonts w:ascii="Arial" w:hAnsi="Arial" w:cs="Arial"/>
          <w:b/>
          <w:szCs w:val="22"/>
        </w:rPr>
      </w:pPr>
    </w:p>
    <w:p w14:paraId="46237A72" w14:textId="77777777" w:rsidR="00712B95" w:rsidRDefault="00712B95" w:rsidP="007346EB">
      <w:pPr>
        <w:spacing w:line="240" w:lineRule="auto"/>
        <w:rPr>
          <w:rFonts w:ascii="Arial" w:hAnsi="Arial" w:cs="Arial"/>
          <w:b/>
          <w:szCs w:val="22"/>
        </w:rPr>
      </w:pPr>
    </w:p>
    <w:p w14:paraId="5A1D4646" w14:textId="15CDB5E9" w:rsidR="00712B95" w:rsidRDefault="00712B95" w:rsidP="007346EB">
      <w:pPr>
        <w:spacing w:line="240" w:lineRule="auto"/>
        <w:rPr>
          <w:rFonts w:ascii="Arial" w:hAnsi="Arial" w:cs="Arial"/>
          <w:b/>
          <w:szCs w:val="22"/>
        </w:rPr>
      </w:pPr>
    </w:p>
    <w:p w14:paraId="301DC39F" w14:textId="77777777" w:rsidR="00712B95" w:rsidRDefault="00712B95" w:rsidP="007346EB">
      <w:pPr>
        <w:spacing w:line="240" w:lineRule="auto"/>
        <w:rPr>
          <w:rFonts w:ascii="Arial" w:hAnsi="Arial" w:cs="Arial"/>
          <w:b/>
          <w:szCs w:val="22"/>
        </w:rPr>
      </w:pPr>
    </w:p>
    <w:p w14:paraId="00E67C96" w14:textId="77777777" w:rsidR="00712B95" w:rsidRDefault="00712B95" w:rsidP="007346EB">
      <w:pPr>
        <w:spacing w:line="240" w:lineRule="auto"/>
        <w:rPr>
          <w:rFonts w:ascii="Arial" w:hAnsi="Arial" w:cs="Arial"/>
          <w:b/>
          <w:szCs w:val="22"/>
        </w:rPr>
      </w:pPr>
    </w:p>
    <w:p w14:paraId="25464775" w14:textId="77777777" w:rsidR="00712B95" w:rsidRDefault="00712B95" w:rsidP="007346EB">
      <w:pPr>
        <w:spacing w:line="240" w:lineRule="auto"/>
        <w:rPr>
          <w:rFonts w:ascii="Arial" w:hAnsi="Arial" w:cs="Arial"/>
          <w:b/>
          <w:szCs w:val="22"/>
        </w:rPr>
      </w:pPr>
    </w:p>
    <w:p w14:paraId="1430197E" w14:textId="77777777" w:rsidR="00712B95" w:rsidRDefault="00712B95" w:rsidP="007346EB">
      <w:pPr>
        <w:spacing w:line="240" w:lineRule="auto"/>
        <w:rPr>
          <w:rFonts w:ascii="Arial" w:hAnsi="Arial" w:cs="Arial"/>
          <w:b/>
          <w:szCs w:val="22"/>
        </w:rPr>
      </w:pPr>
    </w:p>
    <w:p w14:paraId="144EA86B" w14:textId="77777777" w:rsidR="00712B95" w:rsidRDefault="00712B95" w:rsidP="007346EB">
      <w:pPr>
        <w:spacing w:line="240" w:lineRule="auto"/>
        <w:rPr>
          <w:rFonts w:ascii="Arial" w:hAnsi="Arial" w:cs="Arial"/>
          <w:b/>
          <w:szCs w:val="22"/>
        </w:rPr>
      </w:pPr>
    </w:p>
    <w:p w14:paraId="289FBE18" w14:textId="77777777" w:rsidR="00712B95" w:rsidRDefault="00712B95" w:rsidP="007346EB">
      <w:pPr>
        <w:spacing w:line="240" w:lineRule="auto"/>
        <w:rPr>
          <w:rFonts w:ascii="Arial" w:hAnsi="Arial" w:cs="Arial"/>
          <w:b/>
          <w:szCs w:val="22"/>
        </w:rPr>
      </w:pPr>
    </w:p>
    <w:p w14:paraId="134C56CE" w14:textId="77777777" w:rsidR="00712B95" w:rsidRDefault="00712B95" w:rsidP="007346EB">
      <w:pPr>
        <w:spacing w:line="240" w:lineRule="auto"/>
        <w:rPr>
          <w:rFonts w:ascii="Arial" w:hAnsi="Arial" w:cs="Arial"/>
          <w:b/>
          <w:szCs w:val="22"/>
        </w:rPr>
      </w:pPr>
    </w:p>
    <w:p w14:paraId="72AAE1E1" w14:textId="77777777" w:rsidR="00712B95" w:rsidRDefault="00712B95" w:rsidP="007346EB">
      <w:pPr>
        <w:spacing w:line="240" w:lineRule="auto"/>
        <w:rPr>
          <w:rFonts w:ascii="Arial" w:hAnsi="Arial" w:cs="Arial"/>
          <w:b/>
          <w:szCs w:val="22"/>
        </w:rPr>
      </w:pPr>
    </w:p>
    <w:p w14:paraId="6E698850" w14:textId="77777777" w:rsidR="0061583C" w:rsidRDefault="0061583C" w:rsidP="007346EB">
      <w:pPr>
        <w:spacing w:line="240" w:lineRule="auto"/>
        <w:rPr>
          <w:rFonts w:ascii="Arial" w:hAnsi="Arial" w:cs="Arial"/>
          <w:b/>
          <w:szCs w:val="22"/>
        </w:rPr>
      </w:pPr>
    </w:p>
    <w:p w14:paraId="2F7437E7" w14:textId="076C8065" w:rsidR="00C4055E" w:rsidRPr="00E40637" w:rsidRDefault="0061583C" w:rsidP="007346EB">
      <w:pPr>
        <w:spacing w:line="240" w:lineRule="auto"/>
        <w:rPr>
          <w:rFonts w:ascii="Arial" w:hAnsi="Arial" w:cs="Arial"/>
          <w:szCs w:val="22"/>
        </w:rPr>
      </w:pPr>
      <w:r>
        <w:rPr>
          <w:rFonts w:ascii="Arial" w:hAnsi="Arial" w:cs="Arial"/>
          <w:b/>
          <w:szCs w:val="22"/>
        </w:rPr>
        <w:t>A</w:t>
      </w:r>
      <w:r w:rsidR="006843EE" w:rsidRPr="00506707">
        <w:rPr>
          <w:rFonts w:ascii="Arial" w:hAnsi="Arial" w:cs="Arial"/>
          <w:b/>
          <w:szCs w:val="22"/>
        </w:rPr>
        <w:t>bout us:</w:t>
      </w:r>
      <w:r w:rsidR="006843EE" w:rsidRPr="00506707">
        <w:rPr>
          <w:rFonts w:ascii="Arial" w:hAnsi="Arial" w:cs="Arial"/>
          <w:szCs w:val="22"/>
        </w:rPr>
        <w:t xml:space="preserve"> </w:t>
      </w:r>
      <w:r w:rsidR="009B18F5" w:rsidRPr="00506707">
        <w:rPr>
          <w:rFonts w:ascii="Arial" w:hAnsi="Arial" w:cs="Arial"/>
          <w:szCs w:val="22"/>
        </w:rPr>
        <w:br/>
      </w:r>
      <w:r w:rsidR="006843EE" w:rsidRPr="00506707">
        <w:rPr>
          <w:rFonts w:ascii="Arial" w:hAnsi="Arial" w:cs="Arial"/>
          <w:szCs w:val="22"/>
        </w:rPr>
        <w:t xml:space="preserve">The International Planned Parenthood Federation (IPPF) is a global service provider and leading advocate of sexual and reproductive health and rights for all. We are a worldwide movement of national organizations working with and for communities and individuals.  </w:t>
      </w:r>
      <w:r w:rsidR="00F1056D">
        <w:rPr>
          <w:rFonts w:ascii="Arial" w:hAnsi="Arial" w:cs="Arial"/>
          <w:szCs w:val="22"/>
        </w:rPr>
        <w:t>More detailed information is available from IPPF. Please contact</w:t>
      </w:r>
      <w:r w:rsidR="006843EE" w:rsidRPr="006843EE">
        <w:rPr>
          <w:rFonts w:ascii="Arial" w:hAnsi="Arial" w:cs="Arial"/>
          <w:szCs w:val="22"/>
        </w:rPr>
        <w:t xml:space="preserve">: </w:t>
      </w:r>
      <w:hyperlink r:id="rId14" w:history="1">
        <w:r w:rsidR="009B18F5" w:rsidRPr="00A70A5F">
          <w:rPr>
            <w:rStyle w:val="Hyperlink"/>
            <w:rFonts w:ascii="Arial" w:hAnsi="Arial" w:cs="Arial"/>
            <w:szCs w:val="22"/>
          </w:rPr>
          <w:t>psundaram@ippf.org</w:t>
        </w:r>
      </w:hyperlink>
    </w:p>
    <w:sectPr w:rsidR="00C4055E" w:rsidRPr="00E40637" w:rsidSect="004F0E91">
      <w:footerReference w:type="default" r:id="rId15"/>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93601" w14:textId="77777777" w:rsidR="00237AC5" w:rsidRDefault="00237AC5">
      <w:pPr>
        <w:spacing w:after="0" w:line="240" w:lineRule="auto"/>
      </w:pPr>
      <w:r>
        <w:separator/>
      </w:r>
    </w:p>
  </w:endnote>
  <w:endnote w:type="continuationSeparator" w:id="0">
    <w:p w14:paraId="1E6FDE3E" w14:textId="77777777" w:rsidR="00237AC5" w:rsidRDefault="0023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nchez">
    <w:altName w:val="Arial"/>
    <w:panose1 w:val="00000000000000000000"/>
    <w:charset w:val="00"/>
    <w:family w:val="moder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44417"/>
      <w:docPartObj>
        <w:docPartGallery w:val="Page Numbers (Bottom of Page)"/>
        <w:docPartUnique/>
      </w:docPartObj>
    </w:sdtPr>
    <w:sdtEndPr>
      <w:rPr>
        <w:rFonts w:ascii="Arial" w:hAnsi="Arial" w:cs="Arial"/>
        <w:noProof/>
      </w:rPr>
    </w:sdtEndPr>
    <w:sdtContent>
      <w:p w14:paraId="5B583CF5" w14:textId="77777777" w:rsidR="00686E82" w:rsidRPr="002F6901" w:rsidRDefault="00686E82">
        <w:pPr>
          <w:pStyle w:val="Footer"/>
          <w:jc w:val="center"/>
          <w:rPr>
            <w:rFonts w:ascii="Arial" w:hAnsi="Arial" w:cs="Arial"/>
          </w:rPr>
        </w:pPr>
        <w:r w:rsidRPr="002F6901">
          <w:rPr>
            <w:rFonts w:ascii="Arial" w:hAnsi="Arial" w:cs="Arial"/>
          </w:rPr>
          <w:fldChar w:fldCharType="begin"/>
        </w:r>
        <w:r w:rsidRPr="002F6901">
          <w:rPr>
            <w:rFonts w:ascii="Arial" w:hAnsi="Arial" w:cs="Arial"/>
          </w:rPr>
          <w:instrText xml:space="preserve"> PAGE   \* MERGEFORMAT </w:instrText>
        </w:r>
        <w:r w:rsidRPr="002F6901">
          <w:rPr>
            <w:rFonts w:ascii="Arial" w:hAnsi="Arial" w:cs="Arial"/>
          </w:rPr>
          <w:fldChar w:fldCharType="separate"/>
        </w:r>
        <w:r w:rsidR="001455BB">
          <w:rPr>
            <w:rFonts w:ascii="Arial" w:hAnsi="Arial" w:cs="Arial"/>
            <w:noProof/>
          </w:rPr>
          <w:t>1</w:t>
        </w:r>
        <w:r w:rsidRPr="002F6901">
          <w:rPr>
            <w:rFonts w:ascii="Arial" w:hAnsi="Arial" w:cs="Arial"/>
            <w:noProof/>
          </w:rPr>
          <w:fldChar w:fldCharType="end"/>
        </w:r>
      </w:p>
    </w:sdtContent>
  </w:sdt>
  <w:p w14:paraId="6327648F" w14:textId="77777777" w:rsidR="00DB1BBF" w:rsidRDefault="00DB1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B43D5" w14:textId="77777777" w:rsidR="00237AC5" w:rsidRDefault="00237AC5">
      <w:pPr>
        <w:spacing w:after="0" w:line="240" w:lineRule="auto"/>
      </w:pPr>
      <w:r>
        <w:separator/>
      </w:r>
    </w:p>
  </w:footnote>
  <w:footnote w:type="continuationSeparator" w:id="0">
    <w:p w14:paraId="6726C258" w14:textId="77777777" w:rsidR="00237AC5" w:rsidRDefault="00237AC5">
      <w:pPr>
        <w:spacing w:after="0" w:line="240" w:lineRule="auto"/>
      </w:pPr>
      <w:r>
        <w:continuationSeparator/>
      </w:r>
    </w:p>
  </w:footnote>
  <w:footnote w:id="1">
    <w:p w14:paraId="5B88AA0C" w14:textId="77777777" w:rsidR="00614071" w:rsidRPr="00526FAA" w:rsidRDefault="004D433E">
      <w:pPr>
        <w:spacing w:after="0" w:line="240" w:lineRule="auto"/>
        <w:rPr>
          <w:rFonts w:ascii="Arial" w:hAnsi="Arial" w:cs="Arial"/>
          <w:color w:val="000000" w:themeColor="text1"/>
        </w:rPr>
      </w:pPr>
      <w:r w:rsidRPr="00526FAA">
        <w:rPr>
          <w:rFonts w:ascii="Arial" w:hAnsi="Arial" w:cs="Arial"/>
          <w:vertAlign w:val="superscript"/>
        </w:rPr>
        <w:footnoteRef/>
      </w:r>
      <w:r w:rsidRPr="00526FAA">
        <w:rPr>
          <w:rFonts w:ascii="Arial" w:eastAsia="Arial" w:hAnsi="Arial" w:cs="Arial"/>
          <w:sz w:val="18"/>
        </w:rPr>
        <w:t xml:space="preserve"> You can find more information about the GFF at </w:t>
      </w:r>
      <w:hyperlink r:id="rId1">
        <w:r w:rsidRPr="00526FAA">
          <w:rPr>
            <w:rFonts w:ascii="Arial" w:eastAsia="Arial" w:hAnsi="Arial" w:cs="Arial"/>
            <w:color w:val="000000" w:themeColor="text1"/>
            <w:sz w:val="18"/>
          </w:rPr>
          <w:t>http://www.worldbank.org/content/dam/Worldbank/document/HDN/Health/GFFExecutiveSummaryFINAL.pdf</w:t>
        </w:r>
      </w:hyperlink>
      <w:r w:rsidRPr="00526FAA">
        <w:rPr>
          <w:rFonts w:ascii="Arial" w:eastAsia="Arial" w:hAnsi="Arial" w:cs="Arial"/>
          <w:color w:val="000000" w:themeColor="text1"/>
          <w:sz w:val="18"/>
        </w:rPr>
        <w:t>.</w:t>
      </w:r>
    </w:p>
    <w:p w14:paraId="24F07457" w14:textId="77777777" w:rsidR="00614071" w:rsidRPr="00526FAA" w:rsidRDefault="00614071">
      <w:pPr>
        <w:spacing w:after="0" w:line="240" w:lineRule="auto"/>
        <w:rPr>
          <w:rFonts w:ascii="Arial" w:hAnsi="Arial" w:cs="Arial"/>
        </w:rPr>
      </w:pPr>
    </w:p>
  </w:footnote>
  <w:footnote w:id="2">
    <w:p w14:paraId="2BE6C09A" w14:textId="05DE7161" w:rsidR="00A04EDA" w:rsidRPr="00734D6E" w:rsidRDefault="00A04EDA" w:rsidP="00FD7DBD">
      <w:pPr>
        <w:pStyle w:val="FootnoteText"/>
        <w:rPr>
          <w:rFonts w:ascii="Arial" w:hAnsi="Arial" w:cs="Arial"/>
          <w:lang w:val="en-GB"/>
        </w:rPr>
      </w:pPr>
      <w:r w:rsidRPr="00734D6E">
        <w:rPr>
          <w:rStyle w:val="FootnoteReference"/>
          <w:rFonts w:ascii="Arial" w:hAnsi="Arial" w:cs="Arial"/>
        </w:rPr>
        <w:footnoteRef/>
      </w:r>
      <w:r w:rsidRPr="00734D6E">
        <w:rPr>
          <w:rFonts w:ascii="Arial" w:hAnsi="Arial" w:cs="Arial"/>
        </w:rPr>
        <w:t xml:space="preserve"> </w:t>
      </w:r>
      <w:r w:rsidRPr="00734D6E">
        <w:rPr>
          <w:rFonts w:ascii="Arial" w:hAnsi="Arial" w:cs="Arial"/>
          <w:lang w:val="en-GB"/>
        </w:rPr>
        <w:t xml:space="preserve">Compernolle, L., Hoehn, K., Koenig, S. (April 2015) Post-2015 Financing for reproductive Health Supplies, Rapid Assessment-Advocacy Mapping. </w:t>
      </w:r>
    </w:p>
    <w:p w14:paraId="2F460CAD" w14:textId="13638B8A" w:rsidR="00734D6E" w:rsidRPr="00734D6E" w:rsidRDefault="00734D6E" w:rsidP="00FD7DBD">
      <w:pPr>
        <w:pStyle w:val="FootnoteText"/>
        <w:rPr>
          <w:rFonts w:ascii="Arial" w:hAnsi="Arial" w:cs="Arial"/>
          <w:lang w:val="en-GB"/>
        </w:rPr>
      </w:pPr>
      <w:r w:rsidRPr="00734D6E">
        <w:rPr>
          <w:rFonts w:ascii="Arial" w:hAnsi="Arial" w:cs="Arial"/>
        </w:rPr>
        <w:t>The ICPD costed population package includes: family planning services, reproductive health services, STI/HIV/AIDS activities and basic research, data and population and development policy analysis.</w:t>
      </w:r>
    </w:p>
  </w:footnote>
  <w:footnote w:id="3">
    <w:p w14:paraId="61FC1C8E" w14:textId="77777777" w:rsidR="00C60B6C" w:rsidRPr="00734D6E" w:rsidRDefault="00C60B6C" w:rsidP="00C60B6C">
      <w:pPr>
        <w:spacing w:line="240" w:lineRule="auto"/>
        <w:rPr>
          <w:rFonts w:ascii="Arial" w:hAnsi="Arial" w:cs="Arial"/>
          <w:sz w:val="18"/>
          <w:szCs w:val="18"/>
        </w:rPr>
      </w:pPr>
      <w:r w:rsidRPr="00734D6E">
        <w:rPr>
          <w:rStyle w:val="FootnoteReference"/>
          <w:rFonts w:ascii="Arial" w:hAnsi="Arial" w:cs="Arial"/>
          <w:sz w:val="18"/>
          <w:szCs w:val="18"/>
        </w:rPr>
        <w:footnoteRef/>
      </w:r>
      <w:r w:rsidRPr="00734D6E">
        <w:rPr>
          <w:rFonts w:ascii="Arial" w:hAnsi="Arial" w:cs="Arial"/>
          <w:sz w:val="18"/>
          <w:szCs w:val="18"/>
        </w:rPr>
        <w:t xml:space="preserve"> World Bank / International Development Association (IDA) loans reported in the OECD DAC database under Population Assistance sector coding frequently indicate coverage of annually recurring, operating “current” costs, including:</w:t>
      </w:r>
    </w:p>
    <w:p w14:paraId="1FE053DF" w14:textId="77777777" w:rsidR="00C60B6C" w:rsidRPr="00734D6E" w:rsidRDefault="00C60B6C" w:rsidP="00C60B6C">
      <w:pPr>
        <w:pStyle w:val="ListParagraph"/>
        <w:numPr>
          <w:ilvl w:val="0"/>
          <w:numId w:val="16"/>
        </w:numPr>
        <w:spacing w:after="160" w:line="240" w:lineRule="auto"/>
        <w:rPr>
          <w:rFonts w:ascii="Arial" w:hAnsi="Arial" w:cs="Arial"/>
          <w:sz w:val="18"/>
          <w:szCs w:val="18"/>
        </w:rPr>
      </w:pPr>
      <w:r w:rsidRPr="00734D6E">
        <w:rPr>
          <w:rFonts w:ascii="Arial" w:hAnsi="Arial" w:cs="Arial"/>
          <w:sz w:val="18"/>
          <w:szCs w:val="18"/>
        </w:rPr>
        <w:t>Information-education-communications activities</w:t>
      </w:r>
    </w:p>
    <w:p w14:paraId="7BFE5525" w14:textId="77777777" w:rsidR="00C60B6C" w:rsidRPr="00734D6E" w:rsidRDefault="00C60B6C" w:rsidP="00C60B6C">
      <w:pPr>
        <w:pStyle w:val="ListParagraph"/>
        <w:numPr>
          <w:ilvl w:val="0"/>
          <w:numId w:val="16"/>
        </w:numPr>
        <w:spacing w:after="160" w:line="240" w:lineRule="auto"/>
        <w:rPr>
          <w:rFonts w:ascii="Arial" w:hAnsi="Arial" w:cs="Arial"/>
          <w:sz w:val="18"/>
          <w:szCs w:val="18"/>
        </w:rPr>
      </w:pPr>
      <w:r w:rsidRPr="00734D6E">
        <w:rPr>
          <w:rFonts w:ascii="Arial" w:hAnsi="Arial" w:cs="Arial"/>
          <w:sz w:val="18"/>
          <w:szCs w:val="18"/>
        </w:rPr>
        <w:t>Control of communicable and non-communicable diseases</w:t>
      </w:r>
    </w:p>
    <w:p w14:paraId="6715630D" w14:textId="77777777" w:rsidR="00C60B6C" w:rsidRPr="00734D6E" w:rsidRDefault="00C60B6C" w:rsidP="00C60B6C">
      <w:pPr>
        <w:pStyle w:val="ListParagraph"/>
        <w:numPr>
          <w:ilvl w:val="0"/>
          <w:numId w:val="16"/>
        </w:numPr>
        <w:spacing w:after="160" w:line="240" w:lineRule="auto"/>
        <w:rPr>
          <w:rFonts w:ascii="Arial" w:hAnsi="Arial" w:cs="Arial"/>
          <w:sz w:val="18"/>
          <w:szCs w:val="18"/>
        </w:rPr>
      </w:pPr>
      <w:r w:rsidRPr="00734D6E">
        <w:rPr>
          <w:rFonts w:ascii="Arial" w:hAnsi="Arial" w:cs="Arial"/>
          <w:sz w:val="18"/>
          <w:szCs w:val="18"/>
        </w:rPr>
        <w:t>Health surveillance and promotion activities</w:t>
      </w:r>
    </w:p>
    <w:p w14:paraId="3A85D83E" w14:textId="77777777" w:rsidR="00C60B6C" w:rsidRPr="00D3319E" w:rsidRDefault="00C60B6C" w:rsidP="00C60B6C">
      <w:pPr>
        <w:pStyle w:val="ListParagraph"/>
        <w:numPr>
          <w:ilvl w:val="0"/>
          <w:numId w:val="16"/>
        </w:numPr>
        <w:spacing w:after="160" w:line="240" w:lineRule="auto"/>
        <w:rPr>
          <w:rFonts w:ascii="Arial" w:hAnsi="Arial" w:cs="Arial"/>
          <w:sz w:val="18"/>
          <w:szCs w:val="18"/>
        </w:rPr>
      </w:pPr>
      <w:r w:rsidRPr="00D3319E">
        <w:rPr>
          <w:rFonts w:ascii="Arial" w:hAnsi="Arial" w:cs="Arial"/>
          <w:sz w:val="18"/>
          <w:szCs w:val="18"/>
        </w:rPr>
        <w:t>Hospital/other health and nutrition services, support services</w:t>
      </w:r>
    </w:p>
    <w:p w14:paraId="3BC5994A" w14:textId="77777777" w:rsidR="00C60B6C" w:rsidRPr="00D3319E" w:rsidRDefault="00C60B6C" w:rsidP="00C60B6C">
      <w:pPr>
        <w:pStyle w:val="ListParagraph"/>
        <w:numPr>
          <w:ilvl w:val="0"/>
          <w:numId w:val="16"/>
        </w:numPr>
        <w:spacing w:after="160" w:line="240" w:lineRule="auto"/>
        <w:rPr>
          <w:rFonts w:ascii="Arial" w:hAnsi="Arial" w:cs="Arial"/>
          <w:sz w:val="18"/>
          <w:szCs w:val="18"/>
        </w:rPr>
      </w:pPr>
      <w:r w:rsidRPr="00D3319E">
        <w:rPr>
          <w:rFonts w:ascii="Arial" w:hAnsi="Arial" w:cs="Arial"/>
          <w:sz w:val="18"/>
          <w:szCs w:val="18"/>
        </w:rPr>
        <w:t>Health policy reform</w:t>
      </w:r>
    </w:p>
    <w:p w14:paraId="269692C3" w14:textId="77777777" w:rsidR="00C60B6C" w:rsidRPr="00D3319E" w:rsidRDefault="00C60B6C" w:rsidP="00C60B6C">
      <w:pPr>
        <w:pStyle w:val="ListParagraph"/>
        <w:numPr>
          <w:ilvl w:val="0"/>
          <w:numId w:val="16"/>
        </w:numPr>
        <w:spacing w:after="160" w:line="240" w:lineRule="auto"/>
        <w:rPr>
          <w:rFonts w:ascii="Arial" w:hAnsi="Arial" w:cs="Arial"/>
          <w:sz w:val="18"/>
          <w:szCs w:val="18"/>
        </w:rPr>
      </w:pPr>
      <w:r w:rsidRPr="00D3319E">
        <w:rPr>
          <w:rFonts w:ascii="Arial" w:hAnsi="Arial" w:cs="Arial"/>
          <w:sz w:val="18"/>
          <w:szCs w:val="18"/>
        </w:rPr>
        <w:t>Capacity building</w:t>
      </w:r>
    </w:p>
    <w:p w14:paraId="7989055F" w14:textId="77777777" w:rsidR="00C60B6C" w:rsidRPr="00D3319E" w:rsidRDefault="00C60B6C" w:rsidP="00C60B6C">
      <w:pPr>
        <w:pStyle w:val="ListParagraph"/>
        <w:numPr>
          <w:ilvl w:val="0"/>
          <w:numId w:val="16"/>
        </w:numPr>
        <w:spacing w:after="160" w:line="240" w:lineRule="auto"/>
        <w:rPr>
          <w:rFonts w:ascii="Arial" w:hAnsi="Arial" w:cs="Arial"/>
          <w:sz w:val="18"/>
          <w:szCs w:val="18"/>
        </w:rPr>
      </w:pPr>
      <w:r w:rsidRPr="00D3319E">
        <w:rPr>
          <w:rFonts w:ascii="Arial" w:hAnsi="Arial" w:cs="Arial"/>
          <w:sz w:val="18"/>
          <w:szCs w:val="18"/>
        </w:rPr>
        <w:t>Health care practitioner training</w:t>
      </w:r>
    </w:p>
    <w:p w14:paraId="18A0191B" w14:textId="77777777" w:rsidR="00C60B6C" w:rsidRPr="00D3319E" w:rsidRDefault="00C60B6C" w:rsidP="00C60B6C">
      <w:pPr>
        <w:pStyle w:val="ListParagraph"/>
        <w:numPr>
          <w:ilvl w:val="0"/>
          <w:numId w:val="16"/>
        </w:numPr>
        <w:spacing w:after="160" w:line="240" w:lineRule="auto"/>
        <w:rPr>
          <w:rFonts w:ascii="Arial" w:hAnsi="Arial" w:cs="Arial"/>
          <w:sz w:val="18"/>
          <w:szCs w:val="18"/>
        </w:rPr>
      </w:pPr>
      <w:r w:rsidRPr="00D3319E">
        <w:rPr>
          <w:rFonts w:ascii="Arial" w:hAnsi="Arial" w:cs="Arial"/>
          <w:sz w:val="18"/>
          <w:szCs w:val="18"/>
        </w:rPr>
        <w:t>Strengthening of personnel recruitment and management</w:t>
      </w:r>
    </w:p>
    <w:p w14:paraId="50EFE392" w14:textId="77777777" w:rsidR="00C60B6C" w:rsidRPr="001D38B8" w:rsidRDefault="00C60B6C" w:rsidP="00C60B6C">
      <w:pPr>
        <w:pStyle w:val="FootnoteText"/>
        <w:rPr>
          <w:rFonts w:ascii="Arial" w:hAnsi="Arial" w:cs="Arial"/>
          <w:szCs w:val="18"/>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D4F"/>
    <w:multiLevelType w:val="hybridMultilevel"/>
    <w:tmpl w:val="7EBA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56"/>
    <w:multiLevelType w:val="hybridMultilevel"/>
    <w:tmpl w:val="2BC48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D3AF0"/>
    <w:multiLevelType w:val="hybridMultilevel"/>
    <w:tmpl w:val="2CF2B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E639A"/>
    <w:multiLevelType w:val="hybridMultilevel"/>
    <w:tmpl w:val="2CF2B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1186D"/>
    <w:multiLevelType w:val="hybridMultilevel"/>
    <w:tmpl w:val="9B5E00AA"/>
    <w:lvl w:ilvl="0" w:tplc="5DFAB438">
      <w:start w:val="1"/>
      <w:numFmt w:val="decimal"/>
      <w:lvlText w:val="%1."/>
      <w:lvlJc w:val="left"/>
      <w:pPr>
        <w:ind w:left="360" w:hanging="360"/>
      </w:pPr>
      <w:rPr>
        <w:rFonts w:ascii="Arial" w:hAnsi="Arial" w:cs="Arial" w:hint="default"/>
        <w:b/>
      </w:rPr>
    </w:lvl>
    <w:lvl w:ilvl="1" w:tplc="20A00FD6">
      <w:start w:val="2013"/>
      <w:numFmt w:val="bullet"/>
      <w:lvlText w:val="-"/>
      <w:lvlJc w:val="left"/>
      <w:pPr>
        <w:ind w:left="1080" w:hanging="360"/>
      </w:pPr>
      <w:rPr>
        <w:rFonts w:ascii="Calibri" w:eastAsiaTheme="minorEastAsia" w:hAnsi="Calibri" w:cstheme="minorBidi"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7E66EA"/>
    <w:multiLevelType w:val="hybridMultilevel"/>
    <w:tmpl w:val="DD2CA2A4"/>
    <w:lvl w:ilvl="0" w:tplc="0809000F">
      <w:start w:val="1"/>
      <w:numFmt w:val="decimal"/>
      <w:lvlText w:val="%1."/>
      <w:lvlJc w:val="left"/>
      <w:pPr>
        <w:ind w:left="360" w:hanging="360"/>
      </w:pPr>
      <w:rPr>
        <w:rFonts w:hint="default"/>
        <w:b/>
      </w:rPr>
    </w:lvl>
    <w:lvl w:ilvl="1" w:tplc="20A00FD6">
      <w:start w:val="2013"/>
      <w:numFmt w:val="bullet"/>
      <w:lvlText w:val="-"/>
      <w:lvlJc w:val="left"/>
      <w:pPr>
        <w:ind w:left="1080" w:hanging="360"/>
      </w:pPr>
      <w:rPr>
        <w:rFonts w:ascii="Calibri" w:eastAsiaTheme="minorEastAsia" w:hAnsi="Calibri" w:cstheme="minorBidi"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2E2A6F"/>
    <w:multiLevelType w:val="multilevel"/>
    <w:tmpl w:val="42868024"/>
    <w:lvl w:ilvl="0">
      <w:start w:val="1"/>
      <w:numFmt w:val="bullet"/>
      <w:lvlText w:val=""/>
      <w:lvlJc w:val="left"/>
      <w:pPr>
        <w:ind w:left="0" w:firstLine="360"/>
      </w:pPr>
      <w:rPr>
        <w:rFonts w:ascii="Symbol" w:hAnsi="Symbol" w:hint="default"/>
        <w:color w:val="00B0F0"/>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7" w15:restartNumberingAfterBreak="0">
    <w:nsid w:val="18F17AC2"/>
    <w:multiLevelType w:val="hybridMultilevel"/>
    <w:tmpl w:val="8156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D07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839CB"/>
    <w:multiLevelType w:val="hybridMultilevel"/>
    <w:tmpl w:val="B1BE78B2"/>
    <w:lvl w:ilvl="0" w:tplc="20A00FD6">
      <w:start w:val="2013"/>
      <w:numFmt w:val="bullet"/>
      <w:lvlText w:val="-"/>
      <w:lvlJc w:val="left"/>
      <w:pPr>
        <w:ind w:left="720" w:hanging="360"/>
      </w:pPr>
      <w:rPr>
        <w:rFonts w:ascii="Calibr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92785C"/>
    <w:multiLevelType w:val="multilevel"/>
    <w:tmpl w:val="827A1A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2FDB25F0"/>
    <w:multiLevelType w:val="multilevel"/>
    <w:tmpl w:val="2D7652AA"/>
    <w:lvl w:ilvl="0">
      <w:start w:val="1"/>
      <w:numFmt w:val="bullet"/>
      <w:lvlText w:val=""/>
      <w:lvlJc w:val="left"/>
      <w:pPr>
        <w:ind w:left="0" w:firstLine="720"/>
      </w:pPr>
      <w:rPr>
        <w:rFonts w:ascii="Symbol" w:hAnsi="Symbol" w:hint="default"/>
        <w:color w:val="00B0F0"/>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12" w15:restartNumberingAfterBreak="0">
    <w:nsid w:val="2FE100FC"/>
    <w:multiLevelType w:val="hybridMultilevel"/>
    <w:tmpl w:val="D98A173E"/>
    <w:lvl w:ilvl="0" w:tplc="D1A09256">
      <w:start w:val="4"/>
      <w:numFmt w:val="decimal"/>
      <w:lvlText w:val="%1."/>
      <w:lvlJc w:val="left"/>
      <w:pPr>
        <w:ind w:left="360" w:hanging="360"/>
      </w:pPr>
      <w:rPr>
        <w:rFonts w:ascii="Arial" w:hAnsi="Arial" w:cs="Arial" w:hint="default"/>
        <w:b/>
      </w:rPr>
    </w:lvl>
    <w:lvl w:ilvl="1" w:tplc="8CD06B10">
      <w:start w:val="5"/>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91C76"/>
    <w:multiLevelType w:val="hybridMultilevel"/>
    <w:tmpl w:val="FD32FAEC"/>
    <w:lvl w:ilvl="0" w:tplc="927C47E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FB6732"/>
    <w:multiLevelType w:val="multilevel"/>
    <w:tmpl w:val="56ECF240"/>
    <w:lvl w:ilvl="0">
      <w:start w:val="1"/>
      <w:numFmt w:val="bullet"/>
      <w:lvlText w:val=""/>
      <w:lvlJc w:val="left"/>
      <w:pPr>
        <w:ind w:left="0" w:firstLine="720"/>
      </w:pPr>
      <w:rPr>
        <w:rFonts w:ascii="Symbol" w:hAnsi="Symbol" w:hint="default"/>
        <w:color w:val="00B0F0"/>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15" w15:restartNumberingAfterBreak="0">
    <w:nsid w:val="30085994"/>
    <w:multiLevelType w:val="hybridMultilevel"/>
    <w:tmpl w:val="883E1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453A3C"/>
    <w:multiLevelType w:val="hybridMultilevel"/>
    <w:tmpl w:val="AD2E45D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5660A"/>
    <w:multiLevelType w:val="hybridMultilevel"/>
    <w:tmpl w:val="37506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011F7"/>
    <w:multiLevelType w:val="multilevel"/>
    <w:tmpl w:val="BE16F60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15:restartNumberingAfterBreak="0">
    <w:nsid w:val="3C1C3AB5"/>
    <w:multiLevelType w:val="hybridMultilevel"/>
    <w:tmpl w:val="7062D880"/>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4D7B9F"/>
    <w:multiLevelType w:val="hybridMultilevel"/>
    <w:tmpl w:val="8780B5B2"/>
    <w:lvl w:ilvl="0" w:tplc="8402A224">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A1817"/>
    <w:multiLevelType w:val="multilevel"/>
    <w:tmpl w:val="3EFC9BC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D11962"/>
    <w:multiLevelType w:val="hybridMultilevel"/>
    <w:tmpl w:val="E2AEDC04"/>
    <w:lvl w:ilvl="0" w:tplc="20A00FD6">
      <w:start w:val="201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477D6"/>
    <w:multiLevelType w:val="hybridMultilevel"/>
    <w:tmpl w:val="4644FB6C"/>
    <w:lvl w:ilvl="0" w:tplc="0B5055F4">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E6240A"/>
    <w:multiLevelType w:val="hybridMultilevel"/>
    <w:tmpl w:val="21EE164C"/>
    <w:lvl w:ilvl="0" w:tplc="927C47E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E87CFA"/>
    <w:multiLevelType w:val="hybridMultilevel"/>
    <w:tmpl w:val="8FF2CC9C"/>
    <w:lvl w:ilvl="0" w:tplc="0936D57A">
      <w:start w:val="15"/>
      <w:numFmt w:val="bullet"/>
      <w:lvlText w:val="-"/>
      <w:lvlJc w:val="left"/>
      <w:pPr>
        <w:ind w:left="720" w:hanging="360"/>
      </w:pPr>
      <w:rPr>
        <w:rFonts w:ascii="Sanchez" w:eastAsia="Arial" w:hAnsi="Sanchez"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90F90"/>
    <w:multiLevelType w:val="hybridMultilevel"/>
    <w:tmpl w:val="5A74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4011B"/>
    <w:multiLevelType w:val="hybridMultilevel"/>
    <w:tmpl w:val="36305ABE"/>
    <w:lvl w:ilvl="0" w:tplc="08090001">
      <w:start w:val="1"/>
      <w:numFmt w:val="bullet"/>
      <w:lvlText w:val=""/>
      <w:lvlJc w:val="left"/>
      <w:pPr>
        <w:ind w:left="720" w:hanging="360"/>
      </w:pPr>
      <w:rPr>
        <w:rFonts w:ascii="Symbol" w:hAnsi="Symbol" w:hint="default"/>
      </w:rPr>
    </w:lvl>
    <w:lvl w:ilvl="1" w:tplc="7B9A552E">
      <w:numFmt w:val="bullet"/>
      <w:lvlText w:val="-"/>
      <w:lvlJc w:val="left"/>
      <w:pPr>
        <w:tabs>
          <w:tab w:val="num" w:pos="1440"/>
        </w:tabs>
        <w:ind w:left="1440" w:hanging="360"/>
      </w:pPr>
      <w:rPr>
        <w:rFonts w:ascii="Calibri" w:eastAsia="Times New Roman" w:hAnsi="Calibri" w:hint="default"/>
      </w:rPr>
    </w:lvl>
    <w:lvl w:ilvl="2" w:tplc="08090001">
      <w:start w:val="1"/>
      <w:numFmt w:val="bullet"/>
      <w:lvlText w:val=""/>
      <w:lvlJc w:val="left"/>
      <w:pPr>
        <w:ind w:left="72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37F6862"/>
    <w:multiLevelType w:val="hybridMultilevel"/>
    <w:tmpl w:val="54A6F782"/>
    <w:lvl w:ilvl="0" w:tplc="F0A468E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B7106B"/>
    <w:multiLevelType w:val="hybridMultilevel"/>
    <w:tmpl w:val="23AC0A2E"/>
    <w:lvl w:ilvl="0" w:tplc="20A00FD6">
      <w:start w:val="2013"/>
      <w:numFmt w:val="bullet"/>
      <w:lvlText w:val="-"/>
      <w:lvlJc w:val="left"/>
      <w:pPr>
        <w:ind w:left="360" w:hanging="360"/>
      </w:pPr>
      <w:rPr>
        <w:rFonts w:ascii="Calibri" w:eastAsiaTheme="minorEastAsia" w:hAnsi="Calibri" w:cstheme="minorBidi" w:hint="default"/>
        <w:b/>
      </w:rPr>
    </w:lvl>
    <w:lvl w:ilvl="1" w:tplc="20A00FD6">
      <w:start w:val="2013"/>
      <w:numFmt w:val="bullet"/>
      <w:lvlText w:val="-"/>
      <w:lvlJc w:val="left"/>
      <w:pPr>
        <w:ind w:left="1080" w:hanging="360"/>
      </w:pPr>
      <w:rPr>
        <w:rFonts w:ascii="Calibri" w:eastAsiaTheme="minorEastAsia" w:hAnsi="Calibri" w:cstheme="minorBidi"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7E2D02"/>
    <w:multiLevelType w:val="multilevel"/>
    <w:tmpl w:val="B212FE7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1" w15:restartNumberingAfterBreak="0">
    <w:nsid w:val="58D35721"/>
    <w:multiLevelType w:val="hybridMultilevel"/>
    <w:tmpl w:val="85A6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93488"/>
    <w:multiLevelType w:val="hybridMultilevel"/>
    <w:tmpl w:val="28BE673E"/>
    <w:lvl w:ilvl="0" w:tplc="8402A224">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C577A"/>
    <w:multiLevelType w:val="hybridMultilevel"/>
    <w:tmpl w:val="33465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1B35E1"/>
    <w:multiLevelType w:val="hybridMultilevel"/>
    <w:tmpl w:val="029EC496"/>
    <w:lvl w:ilvl="0" w:tplc="20FA8E1E">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2DB7A76"/>
    <w:multiLevelType w:val="multilevel"/>
    <w:tmpl w:val="AFF24B98"/>
    <w:lvl w:ilvl="0">
      <w:start w:val="1"/>
      <w:numFmt w:val="bullet"/>
      <w:lvlText w:val=""/>
      <w:lvlJc w:val="left"/>
      <w:pPr>
        <w:ind w:left="450" w:firstLine="360"/>
      </w:pPr>
      <w:rPr>
        <w:rFonts w:ascii="Symbol" w:hAnsi="Symbol" w:hint="default"/>
        <w:color w:val="00B0F0"/>
      </w:rPr>
    </w:lvl>
    <w:lvl w:ilvl="1">
      <w:start w:val="1"/>
      <w:numFmt w:val="bullet"/>
      <w:lvlText w:val="o"/>
      <w:lvlJc w:val="left"/>
      <w:pPr>
        <w:ind w:left="1170" w:firstLine="1080"/>
      </w:pPr>
      <w:rPr>
        <w:rFonts w:ascii="Arial" w:eastAsia="Arial" w:hAnsi="Arial" w:cs="Arial"/>
      </w:rPr>
    </w:lvl>
    <w:lvl w:ilvl="2">
      <w:start w:val="1"/>
      <w:numFmt w:val="bullet"/>
      <w:lvlText w:val="▪"/>
      <w:lvlJc w:val="left"/>
      <w:pPr>
        <w:ind w:left="1890" w:firstLine="1800"/>
      </w:pPr>
      <w:rPr>
        <w:rFonts w:ascii="Arial" w:eastAsia="Arial" w:hAnsi="Arial" w:cs="Arial"/>
      </w:rPr>
    </w:lvl>
    <w:lvl w:ilvl="3">
      <w:start w:val="1"/>
      <w:numFmt w:val="bullet"/>
      <w:lvlText w:val="●"/>
      <w:lvlJc w:val="left"/>
      <w:pPr>
        <w:ind w:left="2610" w:firstLine="2520"/>
      </w:pPr>
      <w:rPr>
        <w:rFonts w:ascii="Arial" w:eastAsia="Arial" w:hAnsi="Arial" w:cs="Arial"/>
      </w:rPr>
    </w:lvl>
    <w:lvl w:ilvl="4">
      <w:start w:val="1"/>
      <w:numFmt w:val="bullet"/>
      <w:lvlText w:val="o"/>
      <w:lvlJc w:val="left"/>
      <w:pPr>
        <w:ind w:left="3330" w:firstLine="3240"/>
      </w:pPr>
      <w:rPr>
        <w:rFonts w:ascii="Arial" w:eastAsia="Arial" w:hAnsi="Arial" w:cs="Arial"/>
      </w:rPr>
    </w:lvl>
    <w:lvl w:ilvl="5">
      <w:start w:val="1"/>
      <w:numFmt w:val="bullet"/>
      <w:lvlText w:val="▪"/>
      <w:lvlJc w:val="left"/>
      <w:pPr>
        <w:ind w:left="4050" w:firstLine="3960"/>
      </w:pPr>
      <w:rPr>
        <w:rFonts w:ascii="Arial" w:eastAsia="Arial" w:hAnsi="Arial" w:cs="Arial"/>
      </w:rPr>
    </w:lvl>
    <w:lvl w:ilvl="6">
      <w:start w:val="1"/>
      <w:numFmt w:val="bullet"/>
      <w:lvlText w:val="●"/>
      <w:lvlJc w:val="left"/>
      <w:pPr>
        <w:ind w:left="4770" w:firstLine="4680"/>
      </w:pPr>
      <w:rPr>
        <w:rFonts w:ascii="Arial" w:eastAsia="Arial" w:hAnsi="Arial" w:cs="Arial"/>
      </w:rPr>
    </w:lvl>
    <w:lvl w:ilvl="7">
      <w:start w:val="1"/>
      <w:numFmt w:val="bullet"/>
      <w:lvlText w:val="o"/>
      <w:lvlJc w:val="left"/>
      <w:pPr>
        <w:ind w:left="5490" w:firstLine="5400"/>
      </w:pPr>
      <w:rPr>
        <w:rFonts w:ascii="Arial" w:eastAsia="Arial" w:hAnsi="Arial" w:cs="Arial"/>
      </w:rPr>
    </w:lvl>
    <w:lvl w:ilvl="8">
      <w:start w:val="1"/>
      <w:numFmt w:val="bullet"/>
      <w:lvlText w:val="▪"/>
      <w:lvlJc w:val="left"/>
      <w:pPr>
        <w:ind w:left="6210" w:firstLine="6120"/>
      </w:pPr>
      <w:rPr>
        <w:rFonts w:ascii="Arial" w:eastAsia="Arial" w:hAnsi="Arial" w:cs="Arial"/>
      </w:rPr>
    </w:lvl>
  </w:abstractNum>
  <w:abstractNum w:abstractNumId="36" w15:restartNumberingAfterBreak="0">
    <w:nsid w:val="746D475D"/>
    <w:multiLevelType w:val="hybridMultilevel"/>
    <w:tmpl w:val="61EE511E"/>
    <w:lvl w:ilvl="0" w:tplc="0936D57A">
      <w:start w:val="15"/>
      <w:numFmt w:val="bullet"/>
      <w:lvlText w:val="-"/>
      <w:lvlJc w:val="left"/>
      <w:pPr>
        <w:ind w:left="720" w:hanging="360"/>
      </w:pPr>
      <w:rPr>
        <w:rFonts w:ascii="Sanchez" w:eastAsia="Arial" w:hAnsi="Sanchez"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623273"/>
    <w:multiLevelType w:val="hybridMultilevel"/>
    <w:tmpl w:val="4DA2D0A2"/>
    <w:lvl w:ilvl="0" w:tplc="20A00FD6">
      <w:start w:val="201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74614B"/>
    <w:multiLevelType w:val="hybridMultilevel"/>
    <w:tmpl w:val="B18485C4"/>
    <w:lvl w:ilvl="0" w:tplc="0809000F">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0"/>
  </w:num>
  <w:num w:numId="2">
    <w:abstractNumId w:val="10"/>
  </w:num>
  <w:num w:numId="3">
    <w:abstractNumId w:val="18"/>
  </w:num>
  <w:num w:numId="4">
    <w:abstractNumId w:val="14"/>
  </w:num>
  <w:num w:numId="5">
    <w:abstractNumId w:val="35"/>
  </w:num>
  <w:num w:numId="6">
    <w:abstractNumId w:val="32"/>
  </w:num>
  <w:num w:numId="7">
    <w:abstractNumId w:val="20"/>
  </w:num>
  <w:num w:numId="8">
    <w:abstractNumId w:val="6"/>
  </w:num>
  <w:num w:numId="9">
    <w:abstractNumId w:val="11"/>
  </w:num>
  <w:num w:numId="10">
    <w:abstractNumId w:val="36"/>
  </w:num>
  <w:num w:numId="11">
    <w:abstractNumId w:val="25"/>
  </w:num>
  <w:num w:numId="12">
    <w:abstractNumId w:val="21"/>
  </w:num>
  <w:num w:numId="13">
    <w:abstractNumId w:val="16"/>
  </w:num>
  <w:num w:numId="14">
    <w:abstractNumId w:val="0"/>
  </w:num>
  <w:num w:numId="15">
    <w:abstractNumId w:val="4"/>
  </w:num>
  <w:num w:numId="16">
    <w:abstractNumId w:val="31"/>
  </w:num>
  <w:num w:numId="17">
    <w:abstractNumId w:val="15"/>
  </w:num>
  <w:num w:numId="18">
    <w:abstractNumId w:val="26"/>
  </w:num>
  <w:num w:numId="19">
    <w:abstractNumId w:val="7"/>
  </w:num>
  <w:num w:numId="20">
    <w:abstractNumId w:val="17"/>
  </w:num>
  <w:num w:numId="21">
    <w:abstractNumId w:val="34"/>
  </w:num>
  <w:num w:numId="22">
    <w:abstractNumId w:val="12"/>
  </w:num>
  <w:num w:numId="23">
    <w:abstractNumId w:val="19"/>
  </w:num>
  <w:num w:numId="24">
    <w:abstractNumId w:val="1"/>
  </w:num>
  <w:num w:numId="25">
    <w:abstractNumId w:val="23"/>
  </w:num>
  <w:num w:numId="26">
    <w:abstractNumId w:val="38"/>
  </w:num>
  <w:num w:numId="27">
    <w:abstractNumId w:val="33"/>
  </w:num>
  <w:num w:numId="28">
    <w:abstractNumId w:val="8"/>
  </w:num>
  <w:num w:numId="29">
    <w:abstractNumId w:val="13"/>
  </w:num>
  <w:num w:numId="30">
    <w:abstractNumId w:val="3"/>
  </w:num>
  <w:num w:numId="31">
    <w:abstractNumId w:val="2"/>
  </w:num>
  <w:num w:numId="32">
    <w:abstractNumId w:val="9"/>
  </w:num>
  <w:num w:numId="33">
    <w:abstractNumId w:val="27"/>
  </w:num>
  <w:num w:numId="34">
    <w:abstractNumId w:val="5"/>
  </w:num>
  <w:num w:numId="35">
    <w:abstractNumId w:val="29"/>
  </w:num>
  <w:num w:numId="36">
    <w:abstractNumId w:val="24"/>
  </w:num>
  <w:num w:numId="37">
    <w:abstractNumId w:val="22"/>
  </w:num>
  <w:num w:numId="38">
    <w:abstractNumId w:val="3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71"/>
    <w:rsid w:val="000146A5"/>
    <w:rsid w:val="0003116E"/>
    <w:rsid w:val="00033C91"/>
    <w:rsid w:val="000346E6"/>
    <w:rsid w:val="000462E8"/>
    <w:rsid w:val="00055872"/>
    <w:rsid w:val="0005605E"/>
    <w:rsid w:val="000674B0"/>
    <w:rsid w:val="00082225"/>
    <w:rsid w:val="000A7F48"/>
    <w:rsid w:val="000B7C1E"/>
    <w:rsid w:val="000E1930"/>
    <w:rsid w:val="000E261D"/>
    <w:rsid w:val="000F70EF"/>
    <w:rsid w:val="001026C5"/>
    <w:rsid w:val="001031F2"/>
    <w:rsid w:val="00113AAF"/>
    <w:rsid w:val="00136383"/>
    <w:rsid w:val="001455BB"/>
    <w:rsid w:val="00146E99"/>
    <w:rsid w:val="0015262B"/>
    <w:rsid w:val="00173F31"/>
    <w:rsid w:val="001D38B8"/>
    <w:rsid w:val="001D6608"/>
    <w:rsid w:val="001D7D6C"/>
    <w:rsid w:val="001E4E28"/>
    <w:rsid w:val="001F5BB8"/>
    <w:rsid w:val="0020599F"/>
    <w:rsid w:val="00210B11"/>
    <w:rsid w:val="00237AC5"/>
    <w:rsid w:val="00237B30"/>
    <w:rsid w:val="00265731"/>
    <w:rsid w:val="0028450A"/>
    <w:rsid w:val="00285D46"/>
    <w:rsid w:val="00293F2E"/>
    <w:rsid w:val="002A0244"/>
    <w:rsid w:val="002A3AEB"/>
    <w:rsid w:val="002B343C"/>
    <w:rsid w:val="002B4353"/>
    <w:rsid w:val="002E37D1"/>
    <w:rsid w:val="002F147D"/>
    <w:rsid w:val="002F2EED"/>
    <w:rsid w:val="002F4547"/>
    <w:rsid w:val="002F6901"/>
    <w:rsid w:val="003005D1"/>
    <w:rsid w:val="00301145"/>
    <w:rsid w:val="00313A92"/>
    <w:rsid w:val="00336725"/>
    <w:rsid w:val="00342308"/>
    <w:rsid w:val="00352AE2"/>
    <w:rsid w:val="00353587"/>
    <w:rsid w:val="00353DBE"/>
    <w:rsid w:val="00356152"/>
    <w:rsid w:val="00366E3B"/>
    <w:rsid w:val="00396C44"/>
    <w:rsid w:val="003A32C0"/>
    <w:rsid w:val="003A3C41"/>
    <w:rsid w:val="003B1D03"/>
    <w:rsid w:val="003B58F7"/>
    <w:rsid w:val="003D5841"/>
    <w:rsid w:val="003E0078"/>
    <w:rsid w:val="003E1EE4"/>
    <w:rsid w:val="003E4DFE"/>
    <w:rsid w:val="003F7E11"/>
    <w:rsid w:val="0040134E"/>
    <w:rsid w:val="00403504"/>
    <w:rsid w:val="0040751D"/>
    <w:rsid w:val="004077C3"/>
    <w:rsid w:val="00436E9E"/>
    <w:rsid w:val="00440AB7"/>
    <w:rsid w:val="00443747"/>
    <w:rsid w:val="004628F9"/>
    <w:rsid w:val="00462AE5"/>
    <w:rsid w:val="00467D2A"/>
    <w:rsid w:val="00471051"/>
    <w:rsid w:val="004868D9"/>
    <w:rsid w:val="00486A65"/>
    <w:rsid w:val="004A2F11"/>
    <w:rsid w:val="004A486F"/>
    <w:rsid w:val="004A48A3"/>
    <w:rsid w:val="004A5861"/>
    <w:rsid w:val="004B7E4E"/>
    <w:rsid w:val="004C4195"/>
    <w:rsid w:val="004D433E"/>
    <w:rsid w:val="004D6032"/>
    <w:rsid w:val="004E51DD"/>
    <w:rsid w:val="004F0058"/>
    <w:rsid w:val="004F0E91"/>
    <w:rsid w:val="004F676B"/>
    <w:rsid w:val="00505A0B"/>
    <w:rsid w:val="00506394"/>
    <w:rsid w:val="00506707"/>
    <w:rsid w:val="005165D2"/>
    <w:rsid w:val="00526FAA"/>
    <w:rsid w:val="005518B9"/>
    <w:rsid w:val="005648B2"/>
    <w:rsid w:val="005821F8"/>
    <w:rsid w:val="005B5CB2"/>
    <w:rsid w:val="005D0C58"/>
    <w:rsid w:val="005F1C06"/>
    <w:rsid w:val="005F287E"/>
    <w:rsid w:val="0060034A"/>
    <w:rsid w:val="00600A92"/>
    <w:rsid w:val="00612589"/>
    <w:rsid w:val="00614071"/>
    <w:rsid w:val="0061583C"/>
    <w:rsid w:val="0063584C"/>
    <w:rsid w:val="00640713"/>
    <w:rsid w:val="00651577"/>
    <w:rsid w:val="006645B2"/>
    <w:rsid w:val="006843EE"/>
    <w:rsid w:val="00686E82"/>
    <w:rsid w:val="00694676"/>
    <w:rsid w:val="00696AAA"/>
    <w:rsid w:val="006C7499"/>
    <w:rsid w:val="006D0203"/>
    <w:rsid w:val="006E5362"/>
    <w:rsid w:val="006F24BB"/>
    <w:rsid w:val="006F26F5"/>
    <w:rsid w:val="00712B95"/>
    <w:rsid w:val="007170BC"/>
    <w:rsid w:val="00726A98"/>
    <w:rsid w:val="007346EB"/>
    <w:rsid w:val="00734D6E"/>
    <w:rsid w:val="00742EA1"/>
    <w:rsid w:val="00743BC5"/>
    <w:rsid w:val="00744448"/>
    <w:rsid w:val="00746A25"/>
    <w:rsid w:val="00750EFF"/>
    <w:rsid w:val="00755390"/>
    <w:rsid w:val="00760A45"/>
    <w:rsid w:val="00763F6B"/>
    <w:rsid w:val="007752D6"/>
    <w:rsid w:val="00784066"/>
    <w:rsid w:val="00792710"/>
    <w:rsid w:val="007A2F66"/>
    <w:rsid w:val="007C2163"/>
    <w:rsid w:val="007E61ED"/>
    <w:rsid w:val="007E727B"/>
    <w:rsid w:val="007F13A3"/>
    <w:rsid w:val="0080226D"/>
    <w:rsid w:val="0080648E"/>
    <w:rsid w:val="00816C92"/>
    <w:rsid w:val="008206C7"/>
    <w:rsid w:val="00820AC9"/>
    <w:rsid w:val="0082456D"/>
    <w:rsid w:val="00861169"/>
    <w:rsid w:val="00862C68"/>
    <w:rsid w:val="00866649"/>
    <w:rsid w:val="00866A45"/>
    <w:rsid w:val="00867902"/>
    <w:rsid w:val="00890DAA"/>
    <w:rsid w:val="0089182C"/>
    <w:rsid w:val="008A5B9A"/>
    <w:rsid w:val="008B0619"/>
    <w:rsid w:val="008B29D8"/>
    <w:rsid w:val="008C091E"/>
    <w:rsid w:val="008C58C9"/>
    <w:rsid w:val="008D2402"/>
    <w:rsid w:val="008E0645"/>
    <w:rsid w:val="00905021"/>
    <w:rsid w:val="00905673"/>
    <w:rsid w:val="00910EB0"/>
    <w:rsid w:val="0092010E"/>
    <w:rsid w:val="009256C7"/>
    <w:rsid w:val="0093119D"/>
    <w:rsid w:val="009315FB"/>
    <w:rsid w:val="0093370F"/>
    <w:rsid w:val="0094085E"/>
    <w:rsid w:val="009563F6"/>
    <w:rsid w:val="009819CC"/>
    <w:rsid w:val="00993686"/>
    <w:rsid w:val="009B1871"/>
    <w:rsid w:val="009B18F5"/>
    <w:rsid w:val="009B34B8"/>
    <w:rsid w:val="009B43C6"/>
    <w:rsid w:val="009B68F9"/>
    <w:rsid w:val="009E1E66"/>
    <w:rsid w:val="009F4EED"/>
    <w:rsid w:val="00A04EDA"/>
    <w:rsid w:val="00A30AD4"/>
    <w:rsid w:val="00A43A8B"/>
    <w:rsid w:val="00A53DEB"/>
    <w:rsid w:val="00A56AAE"/>
    <w:rsid w:val="00A655BB"/>
    <w:rsid w:val="00A71F79"/>
    <w:rsid w:val="00AA40E5"/>
    <w:rsid w:val="00AD39A8"/>
    <w:rsid w:val="00B11DF2"/>
    <w:rsid w:val="00B350D0"/>
    <w:rsid w:val="00B35874"/>
    <w:rsid w:val="00B41A97"/>
    <w:rsid w:val="00B42484"/>
    <w:rsid w:val="00B458CF"/>
    <w:rsid w:val="00B57313"/>
    <w:rsid w:val="00B773FE"/>
    <w:rsid w:val="00B97694"/>
    <w:rsid w:val="00BB6DE7"/>
    <w:rsid w:val="00BC4409"/>
    <w:rsid w:val="00BC6C4C"/>
    <w:rsid w:val="00BE429C"/>
    <w:rsid w:val="00BE7206"/>
    <w:rsid w:val="00C0584A"/>
    <w:rsid w:val="00C069A8"/>
    <w:rsid w:val="00C13B8A"/>
    <w:rsid w:val="00C14008"/>
    <w:rsid w:val="00C1442C"/>
    <w:rsid w:val="00C15DDB"/>
    <w:rsid w:val="00C22A45"/>
    <w:rsid w:val="00C24851"/>
    <w:rsid w:val="00C37D11"/>
    <w:rsid w:val="00C4055E"/>
    <w:rsid w:val="00C448BA"/>
    <w:rsid w:val="00C45AFC"/>
    <w:rsid w:val="00C503B9"/>
    <w:rsid w:val="00C53508"/>
    <w:rsid w:val="00C5607D"/>
    <w:rsid w:val="00C60B6C"/>
    <w:rsid w:val="00C61BE5"/>
    <w:rsid w:val="00C641D0"/>
    <w:rsid w:val="00C662C3"/>
    <w:rsid w:val="00C66A5B"/>
    <w:rsid w:val="00C70324"/>
    <w:rsid w:val="00C75D3F"/>
    <w:rsid w:val="00C77BB5"/>
    <w:rsid w:val="00C90838"/>
    <w:rsid w:val="00C90C3B"/>
    <w:rsid w:val="00C9454A"/>
    <w:rsid w:val="00CA0E4A"/>
    <w:rsid w:val="00CA301C"/>
    <w:rsid w:val="00CC4760"/>
    <w:rsid w:val="00CD074A"/>
    <w:rsid w:val="00CD1714"/>
    <w:rsid w:val="00CD1C38"/>
    <w:rsid w:val="00CE4465"/>
    <w:rsid w:val="00CE4F76"/>
    <w:rsid w:val="00CF2C82"/>
    <w:rsid w:val="00D021B3"/>
    <w:rsid w:val="00D02CA9"/>
    <w:rsid w:val="00D02E62"/>
    <w:rsid w:val="00D0483A"/>
    <w:rsid w:val="00D06128"/>
    <w:rsid w:val="00D1039B"/>
    <w:rsid w:val="00D11D60"/>
    <w:rsid w:val="00D20CE1"/>
    <w:rsid w:val="00D22FB5"/>
    <w:rsid w:val="00D32CE5"/>
    <w:rsid w:val="00D3319E"/>
    <w:rsid w:val="00D367CA"/>
    <w:rsid w:val="00D36D36"/>
    <w:rsid w:val="00D44330"/>
    <w:rsid w:val="00D5499A"/>
    <w:rsid w:val="00D565EC"/>
    <w:rsid w:val="00D60EA8"/>
    <w:rsid w:val="00D711F6"/>
    <w:rsid w:val="00D71BEC"/>
    <w:rsid w:val="00D75BDF"/>
    <w:rsid w:val="00D80C9E"/>
    <w:rsid w:val="00D812A6"/>
    <w:rsid w:val="00D923A6"/>
    <w:rsid w:val="00D92C4D"/>
    <w:rsid w:val="00D97C88"/>
    <w:rsid w:val="00DB1BBF"/>
    <w:rsid w:val="00DD7547"/>
    <w:rsid w:val="00DE5B9D"/>
    <w:rsid w:val="00DE6DD4"/>
    <w:rsid w:val="00DF7CFD"/>
    <w:rsid w:val="00E40637"/>
    <w:rsid w:val="00E46E77"/>
    <w:rsid w:val="00E51585"/>
    <w:rsid w:val="00E61DFF"/>
    <w:rsid w:val="00E724EB"/>
    <w:rsid w:val="00E75122"/>
    <w:rsid w:val="00E800AA"/>
    <w:rsid w:val="00E813E9"/>
    <w:rsid w:val="00E86615"/>
    <w:rsid w:val="00E870FA"/>
    <w:rsid w:val="00E9357D"/>
    <w:rsid w:val="00EC0E32"/>
    <w:rsid w:val="00ED3A1D"/>
    <w:rsid w:val="00EE2BCB"/>
    <w:rsid w:val="00EF20ED"/>
    <w:rsid w:val="00F02311"/>
    <w:rsid w:val="00F1056D"/>
    <w:rsid w:val="00F116D7"/>
    <w:rsid w:val="00F21524"/>
    <w:rsid w:val="00F23789"/>
    <w:rsid w:val="00F25E58"/>
    <w:rsid w:val="00F449A9"/>
    <w:rsid w:val="00F66C2E"/>
    <w:rsid w:val="00F73F8C"/>
    <w:rsid w:val="00FA0A08"/>
    <w:rsid w:val="00FA481D"/>
    <w:rsid w:val="00FB6681"/>
    <w:rsid w:val="00FC183E"/>
    <w:rsid w:val="00FD7DBD"/>
    <w:rsid w:val="00FE4D55"/>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2AF1F"/>
  <w15:docId w15:val="{EBE8C314-0590-4BA1-BD19-73EB67CA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F2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EED"/>
    <w:rPr>
      <w:rFonts w:ascii="Tahoma" w:hAnsi="Tahoma" w:cs="Tahoma"/>
      <w:sz w:val="16"/>
      <w:szCs w:val="16"/>
    </w:rPr>
  </w:style>
  <w:style w:type="paragraph" w:styleId="ListParagraph">
    <w:name w:val="List Paragraph"/>
    <w:basedOn w:val="Normal"/>
    <w:qFormat/>
    <w:rsid w:val="00E61DFF"/>
    <w:pPr>
      <w:ind w:left="720"/>
      <w:contextualSpacing/>
    </w:pPr>
  </w:style>
  <w:style w:type="character" w:styleId="Hyperlink">
    <w:name w:val="Hyperlink"/>
    <w:basedOn w:val="DefaultParagraphFont"/>
    <w:uiPriority w:val="99"/>
    <w:unhideWhenUsed/>
    <w:rsid w:val="003005D1"/>
    <w:rPr>
      <w:color w:val="005BBB" w:themeColor="hyperlink"/>
      <w:u w:val="single"/>
    </w:rPr>
  </w:style>
  <w:style w:type="paragraph" w:styleId="NoSpacing">
    <w:name w:val="No Spacing"/>
    <w:uiPriority w:val="1"/>
    <w:qFormat/>
    <w:rsid w:val="007E61ED"/>
    <w:pPr>
      <w:spacing w:after="0" w:line="240" w:lineRule="auto"/>
    </w:pPr>
  </w:style>
  <w:style w:type="paragraph" w:styleId="FootnoteText">
    <w:name w:val="footnote text"/>
    <w:basedOn w:val="Normal"/>
    <w:link w:val="FootnoteTextChar"/>
    <w:uiPriority w:val="99"/>
    <w:unhideWhenUsed/>
    <w:rsid w:val="00B42484"/>
    <w:pPr>
      <w:spacing w:after="0" w:line="240" w:lineRule="auto"/>
      <w:jc w:val="both"/>
    </w:pPr>
    <w:rPr>
      <w:rFonts w:asciiTheme="minorHAnsi" w:eastAsiaTheme="minorHAnsi" w:hAnsiTheme="minorHAnsi" w:cstheme="minorBidi"/>
      <w:color w:val="auto"/>
      <w:sz w:val="18"/>
      <w:szCs w:val="24"/>
    </w:rPr>
  </w:style>
  <w:style w:type="character" w:customStyle="1" w:styleId="FootnoteTextChar">
    <w:name w:val="Footnote Text Char"/>
    <w:basedOn w:val="DefaultParagraphFont"/>
    <w:link w:val="FootnoteText"/>
    <w:uiPriority w:val="99"/>
    <w:rsid w:val="00B42484"/>
    <w:rPr>
      <w:rFonts w:asciiTheme="minorHAnsi" w:eastAsiaTheme="minorHAnsi" w:hAnsiTheme="minorHAnsi" w:cstheme="minorBidi"/>
      <w:color w:val="auto"/>
      <w:sz w:val="18"/>
      <w:szCs w:val="24"/>
    </w:rPr>
  </w:style>
  <w:style w:type="character" w:styleId="FootnoteReference">
    <w:name w:val="footnote reference"/>
    <w:basedOn w:val="DefaultParagraphFont"/>
    <w:uiPriority w:val="99"/>
    <w:unhideWhenUsed/>
    <w:rsid w:val="00B42484"/>
    <w:rPr>
      <w:vertAlign w:val="superscript"/>
    </w:rPr>
  </w:style>
  <w:style w:type="paragraph" w:customStyle="1" w:styleId="xmsoplaintext">
    <w:name w:val="x_msoplaintext"/>
    <w:basedOn w:val="Normal"/>
    <w:rsid w:val="003E0078"/>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table" w:styleId="TableGrid">
    <w:name w:val="Table Grid"/>
    <w:basedOn w:val="TableNormal"/>
    <w:uiPriority w:val="59"/>
    <w:rsid w:val="003A32C0"/>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A32C0"/>
    <w:pPr>
      <w:spacing w:line="240" w:lineRule="auto"/>
    </w:pPr>
    <w:rPr>
      <w:sz w:val="20"/>
    </w:rPr>
  </w:style>
  <w:style w:type="character" w:customStyle="1" w:styleId="CommentTextChar">
    <w:name w:val="Comment Text Char"/>
    <w:basedOn w:val="DefaultParagraphFont"/>
    <w:link w:val="CommentText"/>
    <w:uiPriority w:val="99"/>
    <w:semiHidden/>
    <w:rsid w:val="003A32C0"/>
    <w:rPr>
      <w:sz w:val="20"/>
    </w:rPr>
  </w:style>
  <w:style w:type="paragraph" w:styleId="CommentSubject">
    <w:name w:val="annotation subject"/>
    <w:basedOn w:val="CommentText"/>
    <w:next w:val="CommentText"/>
    <w:link w:val="CommentSubjectChar"/>
    <w:uiPriority w:val="99"/>
    <w:semiHidden/>
    <w:unhideWhenUsed/>
    <w:rsid w:val="003A32C0"/>
    <w:pPr>
      <w:spacing w:after="120"/>
      <w:jc w:val="both"/>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3A32C0"/>
    <w:rPr>
      <w:rFonts w:asciiTheme="minorHAnsi" w:eastAsiaTheme="minorHAnsi" w:hAnsiTheme="minorHAnsi" w:cstheme="minorBidi"/>
      <w:b/>
      <w:bCs/>
      <w:color w:val="auto"/>
      <w:sz w:val="20"/>
    </w:rPr>
  </w:style>
  <w:style w:type="paragraph" w:styleId="Header">
    <w:name w:val="header"/>
    <w:basedOn w:val="Normal"/>
    <w:link w:val="HeaderChar"/>
    <w:uiPriority w:val="99"/>
    <w:unhideWhenUsed/>
    <w:rsid w:val="00DB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BBF"/>
  </w:style>
  <w:style w:type="paragraph" w:styleId="Footer">
    <w:name w:val="footer"/>
    <w:basedOn w:val="Normal"/>
    <w:link w:val="FooterChar"/>
    <w:uiPriority w:val="99"/>
    <w:unhideWhenUsed/>
    <w:rsid w:val="00DB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BBF"/>
  </w:style>
  <w:style w:type="character" w:styleId="CommentReference">
    <w:name w:val="annotation reference"/>
    <w:basedOn w:val="DefaultParagraphFont"/>
    <w:uiPriority w:val="99"/>
    <w:semiHidden/>
    <w:unhideWhenUsed/>
    <w:rsid w:val="006D0203"/>
    <w:rPr>
      <w:sz w:val="16"/>
      <w:szCs w:val="16"/>
    </w:rPr>
  </w:style>
  <w:style w:type="paragraph" w:customStyle="1" w:styleId="intro">
    <w:name w:val="intro"/>
    <w:basedOn w:val="Normal"/>
    <w:rsid w:val="003B1D03"/>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NormalWeb">
    <w:name w:val="Normal (Web)"/>
    <w:basedOn w:val="Normal"/>
    <w:uiPriority w:val="99"/>
    <w:semiHidden/>
    <w:unhideWhenUsed/>
    <w:rsid w:val="003B1D03"/>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9859">
      <w:bodyDiv w:val="1"/>
      <w:marLeft w:val="0"/>
      <w:marRight w:val="0"/>
      <w:marTop w:val="0"/>
      <w:marBottom w:val="0"/>
      <w:divBdr>
        <w:top w:val="none" w:sz="0" w:space="0" w:color="auto"/>
        <w:left w:val="none" w:sz="0" w:space="0" w:color="auto"/>
        <w:bottom w:val="none" w:sz="0" w:space="0" w:color="auto"/>
        <w:right w:val="none" w:sz="0" w:space="0" w:color="auto"/>
      </w:divBdr>
      <w:divsChild>
        <w:div w:id="1038968461">
          <w:marLeft w:val="0"/>
          <w:marRight w:val="0"/>
          <w:marTop w:val="0"/>
          <w:marBottom w:val="0"/>
          <w:divBdr>
            <w:top w:val="none" w:sz="0" w:space="0" w:color="auto"/>
            <w:left w:val="none" w:sz="0" w:space="0" w:color="auto"/>
            <w:bottom w:val="none" w:sz="0" w:space="0" w:color="auto"/>
            <w:right w:val="none" w:sz="0" w:space="0" w:color="auto"/>
          </w:divBdr>
        </w:div>
        <w:div w:id="1500578490">
          <w:marLeft w:val="0"/>
          <w:marRight w:val="0"/>
          <w:marTop w:val="0"/>
          <w:marBottom w:val="0"/>
          <w:divBdr>
            <w:top w:val="none" w:sz="0" w:space="0" w:color="auto"/>
            <w:left w:val="none" w:sz="0" w:space="0" w:color="auto"/>
            <w:bottom w:val="none" w:sz="0" w:space="0" w:color="auto"/>
            <w:right w:val="none" w:sz="0" w:space="0" w:color="auto"/>
          </w:divBdr>
        </w:div>
        <w:div w:id="461466528">
          <w:marLeft w:val="0"/>
          <w:marRight w:val="0"/>
          <w:marTop w:val="0"/>
          <w:marBottom w:val="0"/>
          <w:divBdr>
            <w:top w:val="none" w:sz="0" w:space="0" w:color="auto"/>
            <w:left w:val="none" w:sz="0" w:space="0" w:color="auto"/>
            <w:bottom w:val="none" w:sz="0" w:space="0" w:color="auto"/>
            <w:right w:val="none" w:sz="0" w:space="0" w:color="auto"/>
          </w:divBdr>
        </w:div>
        <w:div w:id="1869370346">
          <w:marLeft w:val="0"/>
          <w:marRight w:val="0"/>
          <w:marTop w:val="0"/>
          <w:marBottom w:val="0"/>
          <w:divBdr>
            <w:top w:val="none" w:sz="0" w:space="0" w:color="auto"/>
            <w:left w:val="none" w:sz="0" w:space="0" w:color="auto"/>
            <w:bottom w:val="none" w:sz="0" w:space="0" w:color="auto"/>
            <w:right w:val="none" w:sz="0" w:space="0" w:color="auto"/>
          </w:divBdr>
        </w:div>
        <w:div w:id="1516769875">
          <w:marLeft w:val="0"/>
          <w:marRight w:val="0"/>
          <w:marTop w:val="0"/>
          <w:marBottom w:val="0"/>
          <w:divBdr>
            <w:top w:val="none" w:sz="0" w:space="0" w:color="auto"/>
            <w:left w:val="none" w:sz="0" w:space="0" w:color="auto"/>
            <w:bottom w:val="none" w:sz="0" w:space="0" w:color="auto"/>
            <w:right w:val="none" w:sz="0" w:space="0" w:color="auto"/>
          </w:divBdr>
        </w:div>
        <w:div w:id="2103523772">
          <w:marLeft w:val="0"/>
          <w:marRight w:val="0"/>
          <w:marTop w:val="0"/>
          <w:marBottom w:val="0"/>
          <w:divBdr>
            <w:top w:val="none" w:sz="0" w:space="0" w:color="auto"/>
            <w:left w:val="none" w:sz="0" w:space="0" w:color="auto"/>
            <w:bottom w:val="none" w:sz="0" w:space="0" w:color="auto"/>
            <w:right w:val="none" w:sz="0" w:space="0" w:color="auto"/>
          </w:divBdr>
        </w:div>
        <w:div w:id="1898665897">
          <w:marLeft w:val="0"/>
          <w:marRight w:val="0"/>
          <w:marTop w:val="0"/>
          <w:marBottom w:val="0"/>
          <w:divBdr>
            <w:top w:val="none" w:sz="0" w:space="0" w:color="auto"/>
            <w:left w:val="none" w:sz="0" w:space="0" w:color="auto"/>
            <w:bottom w:val="none" w:sz="0" w:space="0" w:color="auto"/>
            <w:right w:val="none" w:sz="0" w:space="0" w:color="auto"/>
          </w:divBdr>
        </w:div>
        <w:div w:id="559093099">
          <w:marLeft w:val="0"/>
          <w:marRight w:val="0"/>
          <w:marTop w:val="0"/>
          <w:marBottom w:val="0"/>
          <w:divBdr>
            <w:top w:val="none" w:sz="0" w:space="0" w:color="auto"/>
            <w:left w:val="none" w:sz="0" w:space="0" w:color="auto"/>
            <w:bottom w:val="none" w:sz="0" w:space="0" w:color="auto"/>
            <w:right w:val="none" w:sz="0" w:space="0" w:color="auto"/>
          </w:divBdr>
        </w:div>
        <w:div w:id="840312289">
          <w:marLeft w:val="0"/>
          <w:marRight w:val="0"/>
          <w:marTop w:val="0"/>
          <w:marBottom w:val="0"/>
          <w:divBdr>
            <w:top w:val="none" w:sz="0" w:space="0" w:color="auto"/>
            <w:left w:val="none" w:sz="0" w:space="0" w:color="auto"/>
            <w:bottom w:val="none" w:sz="0" w:space="0" w:color="auto"/>
            <w:right w:val="none" w:sz="0" w:space="0" w:color="auto"/>
          </w:divBdr>
        </w:div>
        <w:div w:id="928075804">
          <w:marLeft w:val="0"/>
          <w:marRight w:val="0"/>
          <w:marTop w:val="0"/>
          <w:marBottom w:val="0"/>
          <w:divBdr>
            <w:top w:val="none" w:sz="0" w:space="0" w:color="auto"/>
            <w:left w:val="none" w:sz="0" w:space="0" w:color="auto"/>
            <w:bottom w:val="none" w:sz="0" w:space="0" w:color="auto"/>
            <w:right w:val="none" w:sz="0" w:space="0" w:color="auto"/>
          </w:divBdr>
        </w:div>
        <w:div w:id="1369378644">
          <w:marLeft w:val="0"/>
          <w:marRight w:val="0"/>
          <w:marTop w:val="0"/>
          <w:marBottom w:val="0"/>
          <w:divBdr>
            <w:top w:val="none" w:sz="0" w:space="0" w:color="auto"/>
            <w:left w:val="none" w:sz="0" w:space="0" w:color="auto"/>
            <w:bottom w:val="none" w:sz="0" w:space="0" w:color="auto"/>
            <w:right w:val="none" w:sz="0" w:space="0" w:color="auto"/>
          </w:divBdr>
        </w:div>
        <w:div w:id="131605830">
          <w:marLeft w:val="0"/>
          <w:marRight w:val="0"/>
          <w:marTop w:val="0"/>
          <w:marBottom w:val="0"/>
          <w:divBdr>
            <w:top w:val="none" w:sz="0" w:space="0" w:color="auto"/>
            <w:left w:val="none" w:sz="0" w:space="0" w:color="auto"/>
            <w:bottom w:val="none" w:sz="0" w:space="0" w:color="auto"/>
            <w:right w:val="none" w:sz="0" w:space="0" w:color="auto"/>
          </w:divBdr>
        </w:div>
        <w:div w:id="83649690">
          <w:marLeft w:val="0"/>
          <w:marRight w:val="0"/>
          <w:marTop w:val="0"/>
          <w:marBottom w:val="0"/>
          <w:divBdr>
            <w:top w:val="none" w:sz="0" w:space="0" w:color="auto"/>
            <w:left w:val="none" w:sz="0" w:space="0" w:color="auto"/>
            <w:bottom w:val="none" w:sz="0" w:space="0" w:color="auto"/>
            <w:right w:val="none" w:sz="0" w:space="0" w:color="auto"/>
          </w:divBdr>
        </w:div>
        <w:div w:id="483595328">
          <w:marLeft w:val="0"/>
          <w:marRight w:val="0"/>
          <w:marTop w:val="0"/>
          <w:marBottom w:val="0"/>
          <w:divBdr>
            <w:top w:val="none" w:sz="0" w:space="0" w:color="auto"/>
            <w:left w:val="none" w:sz="0" w:space="0" w:color="auto"/>
            <w:bottom w:val="none" w:sz="0" w:space="0" w:color="auto"/>
            <w:right w:val="none" w:sz="0" w:space="0" w:color="auto"/>
          </w:divBdr>
        </w:div>
        <w:div w:id="1494107714">
          <w:marLeft w:val="0"/>
          <w:marRight w:val="0"/>
          <w:marTop w:val="0"/>
          <w:marBottom w:val="0"/>
          <w:divBdr>
            <w:top w:val="none" w:sz="0" w:space="0" w:color="auto"/>
            <w:left w:val="none" w:sz="0" w:space="0" w:color="auto"/>
            <w:bottom w:val="none" w:sz="0" w:space="0" w:color="auto"/>
            <w:right w:val="none" w:sz="0" w:space="0" w:color="auto"/>
          </w:divBdr>
        </w:div>
        <w:div w:id="1919167358">
          <w:marLeft w:val="0"/>
          <w:marRight w:val="0"/>
          <w:marTop w:val="0"/>
          <w:marBottom w:val="0"/>
          <w:divBdr>
            <w:top w:val="none" w:sz="0" w:space="0" w:color="auto"/>
            <w:left w:val="none" w:sz="0" w:space="0" w:color="auto"/>
            <w:bottom w:val="none" w:sz="0" w:space="0" w:color="auto"/>
            <w:right w:val="none" w:sz="0" w:space="0" w:color="auto"/>
          </w:divBdr>
        </w:div>
      </w:divsChild>
    </w:div>
    <w:div w:id="430323622">
      <w:bodyDiv w:val="1"/>
      <w:marLeft w:val="0"/>
      <w:marRight w:val="0"/>
      <w:marTop w:val="0"/>
      <w:marBottom w:val="0"/>
      <w:divBdr>
        <w:top w:val="none" w:sz="0" w:space="0" w:color="auto"/>
        <w:left w:val="none" w:sz="0" w:space="0" w:color="auto"/>
        <w:bottom w:val="none" w:sz="0" w:space="0" w:color="auto"/>
        <w:right w:val="none" w:sz="0" w:space="0" w:color="auto"/>
      </w:divBdr>
    </w:div>
    <w:div w:id="1483736994">
      <w:bodyDiv w:val="1"/>
      <w:marLeft w:val="0"/>
      <w:marRight w:val="0"/>
      <w:marTop w:val="0"/>
      <w:marBottom w:val="0"/>
      <w:divBdr>
        <w:top w:val="none" w:sz="0" w:space="0" w:color="auto"/>
        <w:left w:val="none" w:sz="0" w:space="0" w:color="auto"/>
        <w:bottom w:val="none" w:sz="0" w:space="0" w:color="auto"/>
        <w:right w:val="none" w:sz="0" w:space="0" w:color="auto"/>
      </w:divBdr>
    </w:div>
    <w:div w:id="1642273281">
      <w:bodyDiv w:val="1"/>
      <w:marLeft w:val="0"/>
      <w:marRight w:val="0"/>
      <w:marTop w:val="0"/>
      <w:marBottom w:val="0"/>
      <w:divBdr>
        <w:top w:val="none" w:sz="0" w:space="0" w:color="auto"/>
        <w:left w:val="none" w:sz="0" w:space="0" w:color="auto"/>
        <w:bottom w:val="none" w:sz="0" w:space="0" w:color="auto"/>
        <w:right w:val="none" w:sz="0" w:space="0" w:color="auto"/>
      </w:divBdr>
    </w:div>
    <w:div w:id="1706828288">
      <w:bodyDiv w:val="1"/>
      <w:marLeft w:val="0"/>
      <w:marRight w:val="0"/>
      <w:marTop w:val="0"/>
      <w:marBottom w:val="0"/>
      <w:divBdr>
        <w:top w:val="none" w:sz="0" w:space="0" w:color="auto"/>
        <w:left w:val="none" w:sz="0" w:space="0" w:color="auto"/>
        <w:bottom w:val="none" w:sz="0" w:space="0" w:color="auto"/>
        <w:right w:val="none" w:sz="0" w:space="0" w:color="auto"/>
      </w:divBdr>
      <w:divsChild>
        <w:div w:id="687565378">
          <w:marLeft w:val="0"/>
          <w:marRight w:val="0"/>
          <w:marTop w:val="0"/>
          <w:marBottom w:val="0"/>
          <w:divBdr>
            <w:top w:val="none" w:sz="0" w:space="0" w:color="auto"/>
            <w:left w:val="none" w:sz="0" w:space="0" w:color="auto"/>
            <w:bottom w:val="none" w:sz="0" w:space="0" w:color="auto"/>
            <w:right w:val="none" w:sz="0" w:space="0" w:color="auto"/>
          </w:divBdr>
          <w:divsChild>
            <w:div w:id="1047995389">
              <w:marLeft w:val="0"/>
              <w:marRight w:val="0"/>
              <w:marTop w:val="0"/>
              <w:marBottom w:val="0"/>
              <w:divBdr>
                <w:top w:val="none" w:sz="0" w:space="0" w:color="auto"/>
                <w:left w:val="none" w:sz="0" w:space="0" w:color="auto"/>
                <w:bottom w:val="none" w:sz="0" w:space="0" w:color="auto"/>
                <w:right w:val="none" w:sz="0" w:space="0" w:color="auto"/>
              </w:divBdr>
              <w:divsChild>
                <w:div w:id="12910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2915">
          <w:marLeft w:val="0"/>
          <w:marRight w:val="0"/>
          <w:marTop w:val="0"/>
          <w:marBottom w:val="0"/>
          <w:divBdr>
            <w:top w:val="none" w:sz="0" w:space="0" w:color="auto"/>
            <w:left w:val="none" w:sz="0" w:space="0" w:color="auto"/>
            <w:bottom w:val="none" w:sz="0" w:space="0" w:color="auto"/>
            <w:right w:val="none" w:sz="0" w:space="0" w:color="auto"/>
          </w:divBdr>
          <w:divsChild>
            <w:div w:id="1311708218">
              <w:marLeft w:val="0"/>
              <w:marRight w:val="0"/>
              <w:marTop w:val="0"/>
              <w:marBottom w:val="0"/>
              <w:divBdr>
                <w:top w:val="none" w:sz="0" w:space="0" w:color="auto"/>
                <w:left w:val="none" w:sz="0" w:space="0" w:color="auto"/>
                <w:bottom w:val="none" w:sz="0" w:space="0" w:color="auto"/>
                <w:right w:val="none" w:sz="0" w:space="0" w:color="auto"/>
              </w:divBdr>
              <w:divsChild>
                <w:div w:id="3122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bank.org/content/dam/Worldbank/document/HDN/Health/Business%20Plan%20for%20the%20GFF%2C%20fin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rg/esa/ffd/ffd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undaram@ippf.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orldbank.org/content/dam/Worldbank/document/HDN/Health/GFFExecutiveSummaryFINAL.pdf" TargetMode="External"/></Relationships>
</file>

<file path=word/theme/theme1.xml><?xml version="1.0" encoding="utf-8"?>
<a:theme xmlns:a="http://schemas.openxmlformats.org/drawingml/2006/main" name="Office Theme">
  <a:themeElements>
    <a:clrScheme name="MSI">
      <a:dk1>
        <a:sysClr val="windowText" lastClr="000000"/>
      </a:dk1>
      <a:lt1>
        <a:srgbClr val="7F7F7F"/>
      </a:lt1>
      <a:dk2>
        <a:srgbClr val="8FCAE7"/>
      </a:dk2>
      <a:lt2>
        <a:srgbClr val="C4D9E4"/>
      </a:lt2>
      <a:accent1>
        <a:srgbClr val="FFFFFF"/>
      </a:accent1>
      <a:accent2>
        <a:srgbClr val="BED600"/>
      </a:accent2>
      <a:accent3>
        <a:srgbClr val="FE9EAF"/>
      </a:accent3>
      <a:accent4>
        <a:srgbClr val="FECB00"/>
      </a:accent4>
      <a:accent5>
        <a:srgbClr val="D70D85"/>
      </a:accent5>
      <a:accent6>
        <a:srgbClr val="009B3A"/>
      </a:accent6>
      <a:hlink>
        <a:srgbClr val="005BBB"/>
      </a:hlink>
      <a:folHlink>
        <a:srgbClr val="01AE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80A9A835D8F4AA511F77293BBFE23" ma:contentTypeVersion="0" ma:contentTypeDescription="Create a new document." ma:contentTypeScope="" ma:versionID="08e07d2be9bb823da24d3d6cbbc7ebf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4844F-2C15-4E09-9665-C78CBDFA2030}">
  <ds:schemaRefs>
    <ds:schemaRef ds:uri="http://schemas.microsoft.com/sharepoint/v3/contenttype/forms"/>
  </ds:schemaRefs>
</ds:datastoreItem>
</file>

<file path=customXml/itemProps2.xml><?xml version="1.0" encoding="utf-8"?>
<ds:datastoreItem xmlns:ds="http://schemas.openxmlformats.org/officeDocument/2006/customXml" ds:itemID="{84AC9D00-E62A-4D6C-BE36-210778B96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9C1CF6-DABC-4BA7-B398-34F2585025ED}">
  <ds:schemaRef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A4C3514-3D05-42C4-B94A-D12B3D97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1429</Words>
  <Characters>8146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Preethi Sundaram</dc:creator>
  <cp:lastModifiedBy>Suzanna Dennis</cp:lastModifiedBy>
  <cp:revision>2</cp:revision>
  <cp:lastPrinted>2015-05-29T06:51:00Z</cp:lastPrinted>
  <dcterms:created xsi:type="dcterms:W3CDTF">2015-09-21T14:18:00Z</dcterms:created>
  <dcterms:modified xsi:type="dcterms:W3CDTF">2015-09-21T14:18:00Z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0x0101008C680A9A835D8F4AA511F77293BBFE23</vt:lpwstr>
  </property>
</Properties>
</file>